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DF" w:rsidRDefault="003E65DF">
      <w:pPr>
        <w:rPr>
          <w:b/>
          <w:sz w:val="28"/>
          <w:szCs w:val="28"/>
        </w:rPr>
      </w:pPr>
      <w:r w:rsidRPr="003E65DF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3E65DF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E65DF" w:rsidRDefault="003E65DF">
      <w:pPr>
        <w:rPr>
          <w:b/>
          <w:sz w:val="26"/>
          <w:szCs w:val="26"/>
        </w:rPr>
      </w:pPr>
    </w:p>
    <w:p w:rsidR="003E65DF" w:rsidRDefault="003E65DF">
      <w:pPr>
        <w:jc w:val="center"/>
        <w:rPr>
          <w:b/>
          <w:sz w:val="28"/>
          <w:szCs w:val="28"/>
        </w:rPr>
      </w:pPr>
    </w:p>
    <w:p w:rsidR="003E65DF" w:rsidRDefault="003F012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Догазификация</w:t>
      </w:r>
      <w:proofErr w:type="spellEnd"/>
      <w:r>
        <w:rPr>
          <w:b/>
          <w:sz w:val="28"/>
          <w:szCs w:val="28"/>
        </w:rPr>
        <w:t xml:space="preserve"> жилых домов в СНТ: специалисты новосибирского Росреестра ответили на вопросы жителей региона</w:t>
      </w:r>
      <w:bookmarkStart w:id="0" w:name="undefined"/>
      <w:bookmarkEnd w:id="0"/>
    </w:p>
    <w:p w:rsidR="003E65DF" w:rsidRDefault="003E65DF">
      <w:pPr>
        <w:spacing w:line="360" w:lineRule="auto"/>
        <w:rPr>
          <w:b/>
          <w:bCs/>
          <w:sz w:val="28"/>
          <w:szCs w:val="28"/>
        </w:rPr>
      </w:pPr>
    </w:p>
    <w:p w:rsidR="003E65DF" w:rsidRDefault="003F0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На минувшей неделе Управление Росреестра по Новосибирской области провело «горячую» телефонную линию по вопросам, возникающим при догазификации жилых домов в садовых некоммерческих товариществах (СНТ).</w:t>
      </w:r>
    </w:p>
    <w:p w:rsidR="003E65DF" w:rsidRDefault="003F0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«горячей» линии поступило 7 звонков. Вопросы г</w:t>
      </w:r>
      <w:r>
        <w:rPr>
          <w:sz w:val="28"/>
          <w:szCs w:val="28"/>
        </w:rPr>
        <w:t xml:space="preserve">раждан касались возможности догазификации жилых домов, расположенных на землях сельскохозяйственного назначения, о сроках исполнения технического присоединения на основании уже заключенных договоров. </w:t>
      </w:r>
    </w:p>
    <w:p w:rsidR="003E65DF" w:rsidRDefault="003F0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вопросы жителей области ответила главный специалист-</w:t>
      </w:r>
      <w:r>
        <w:rPr>
          <w:sz w:val="28"/>
          <w:szCs w:val="28"/>
        </w:rPr>
        <w:t xml:space="preserve">эксперт отдела государственной регистрации недвижимости регионального Управления Росреестра Надежда Агафонова.   </w:t>
      </w:r>
    </w:p>
    <w:p w:rsidR="003E65DF" w:rsidRDefault="003F0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</w:t>
      </w:r>
      <w:proofErr w:type="spellStart"/>
      <w:r>
        <w:rPr>
          <w:sz w:val="28"/>
          <w:szCs w:val="28"/>
        </w:rPr>
        <w:t>догазификация</w:t>
      </w:r>
      <w:proofErr w:type="spellEnd"/>
      <w:r>
        <w:rPr>
          <w:sz w:val="28"/>
          <w:szCs w:val="28"/>
        </w:rPr>
        <w:t xml:space="preserve"> жилого дома в СНТ осуществляется бесплатно до границ земельного участка, расположенных на землях садоводческих тов</w:t>
      </w:r>
      <w:r>
        <w:rPr>
          <w:sz w:val="28"/>
          <w:szCs w:val="28"/>
        </w:rPr>
        <w:t>арище</w:t>
      </w:r>
      <w:proofErr w:type="gramStart"/>
      <w:r>
        <w:rPr>
          <w:sz w:val="28"/>
          <w:szCs w:val="28"/>
        </w:rPr>
        <w:t>ств в гр</w:t>
      </w:r>
      <w:proofErr w:type="gramEnd"/>
      <w:r>
        <w:rPr>
          <w:sz w:val="28"/>
          <w:szCs w:val="28"/>
        </w:rPr>
        <w:t>аницах населенных пунктов. Программа догазификации не применятся на жилые дома, расположенные на землях сельскохозяйственного назначения.</w:t>
      </w:r>
    </w:p>
    <w:p w:rsidR="003E65DF" w:rsidRDefault="003F0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включения в социальную программу догазификации права собственности граждан – владельцев недвижимости </w:t>
      </w:r>
      <w:r>
        <w:rPr>
          <w:sz w:val="28"/>
          <w:szCs w:val="28"/>
        </w:rPr>
        <w:t>- должны быть зарегистрированы в Едином государственном реестре недвижимости и на жилой дом, и на земельный участок.</w:t>
      </w:r>
    </w:p>
    <w:p w:rsidR="003E65DF" w:rsidRDefault="003F0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на садовые дома и иные </w:t>
      </w:r>
      <w:proofErr w:type="spellStart"/>
      <w:r>
        <w:rPr>
          <w:sz w:val="28"/>
          <w:szCs w:val="28"/>
        </w:rPr>
        <w:t>хозпостройки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догазификация</w:t>
      </w:r>
      <w:proofErr w:type="spellEnd"/>
      <w:r>
        <w:rPr>
          <w:sz w:val="28"/>
          <w:szCs w:val="28"/>
        </w:rPr>
        <w:t xml:space="preserve"> не распространяется. Поэтому при желании граждан газифицировать садов</w:t>
      </w:r>
      <w:r>
        <w:rPr>
          <w:sz w:val="28"/>
          <w:szCs w:val="28"/>
        </w:rPr>
        <w:t xml:space="preserve">ый дом в первую очередь необходимо его признать жилым. Как садовый дом перевести в жилой – читайте в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 xml:space="preserve"> </w:t>
      </w:r>
      <w:hyperlink r:id="rId8" w:tooltip="https://vk.com/rosreestr_nsk?w=wall-118967869_5031" w:history="1">
        <w:proofErr w:type="spellStart"/>
        <w:r>
          <w:rPr>
            <w:rStyle w:val="ac"/>
            <w:sz w:val="28"/>
            <w:szCs w:val="28"/>
          </w:rPr>
          <w:t>инфокарточках</w:t>
        </w:r>
        <w:proofErr w:type="spellEnd"/>
      </w:hyperlink>
      <w:r>
        <w:rPr>
          <w:sz w:val="28"/>
          <w:szCs w:val="28"/>
        </w:rPr>
        <w:t>.</w:t>
      </w:r>
    </w:p>
    <w:p w:rsidR="003E65DF" w:rsidRDefault="003F0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Всю подробную</w:t>
      </w:r>
      <w:r>
        <w:rPr>
          <w:sz w:val="28"/>
          <w:szCs w:val="28"/>
        </w:rPr>
        <w:t xml:space="preserve"> информацию об особенностях газификации в СНТ можно узнать в методическом пособии </w:t>
      </w:r>
      <w:hyperlink r:id="rId9" w:tooltip="https://rosreestr.gov.ru/upload/Doc/press/%D0%93%D0%B0%D0%B7%D0%B8%D1%84%D0%B8%D0%BA%D0%B0%D1%86%D0%B8%D1%8F-2024(%D0%B8%D1%82%D0%BE%D0%B3).pdf" w:history="1">
        <w:r>
          <w:rPr>
            <w:rStyle w:val="ac"/>
            <w:sz w:val="28"/>
            <w:szCs w:val="28"/>
          </w:rPr>
          <w:t>«Шаги для догазификации жилых домов в СНТ»</w:t>
        </w:r>
      </w:hyperlink>
      <w:r>
        <w:rPr>
          <w:sz w:val="28"/>
          <w:szCs w:val="28"/>
        </w:rPr>
        <w:t>, специально разработанном Росреестром для садоводов.</w:t>
      </w:r>
    </w:p>
    <w:p w:rsidR="003E65DF" w:rsidRDefault="003F0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Росрее</w:t>
      </w:r>
      <w:r>
        <w:rPr>
          <w:sz w:val="28"/>
          <w:szCs w:val="28"/>
        </w:rPr>
        <w:t xml:space="preserve">стра можно ознакомиться с территориями Новосибирской области, в которых планируется до 2030 года проведение работ по газификации, по </w:t>
      </w:r>
      <w:hyperlink r:id="rId10" w:tooltip="https://rosreestr.gov.ru/open-service/statistika-i-analitika/informatsiya-ob-snt-popadayushchikh-v-programmu-gazifikatsii-405/" w:history="1">
        <w:r>
          <w:rPr>
            <w:rStyle w:val="ac"/>
            <w:sz w:val="28"/>
            <w:szCs w:val="28"/>
          </w:rPr>
          <w:t>ссылке</w:t>
        </w:r>
      </w:hyperlink>
      <w:r>
        <w:rPr>
          <w:sz w:val="28"/>
          <w:szCs w:val="28"/>
        </w:rPr>
        <w:t>.</w:t>
      </w:r>
    </w:p>
    <w:p w:rsidR="003E65DF" w:rsidRDefault="003E65DF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</w:p>
    <w:p w:rsidR="003E65DF" w:rsidRDefault="003E65DF">
      <w:pPr>
        <w:tabs>
          <w:tab w:val="left" w:pos="709"/>
        </w:tabs>
        <w:spacing w:line="283" w:lineRule="exact"/>
        <w:ind w:firstLine="68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3E65DF" w:rsidRDefault="003E65DF">
      <w:pPr>
        <w:spacing w:line="360" w:lineRule="auto"/>
        <w:ind w:firstLine="709"/>
        <w:jc w:val="both"/>
        <w:rPr>
          <w:sz w:val="28"/>
          <w:szCs w:val="28"/>
        </w:rPr>
      </w:pPr>
    </w:p>
    <w:p w:rsidR="003E65DF" w:rsidRDefault="003E65DF">
      <w:pPr>
        <w:jc w:val="both"/>
        <w:rPr>
          <w:sz w:val="28"/>
          <w:szCs w:val="28"/>
        </w:rPr>
      </w:pPr>
    </w:p>
    <w:p w:rsidR="003E65DF" w:rsidRDefault="003F0121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3E65DF" w:rsidRDefault="003F0121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3E65DF" w:rsidRDefault="003E65DF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3E65DF" w:rsidRDefault="003E65DF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3E65DF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3E65DF" w:rsidRDefault="003F0121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E65DF" w:rsidRDefault="003F0121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</w:t>
      </w:r>
      <w:r>
        <w:rPr>
          <w:rFonts w:ascii="Segoe UI" w:hAnsi="Segoe UI" w:cs="Segoe UI"/>
          <w:sz w:val="18"/>
          <w:szCs w:val="18"/>
        </w:rPr>
        <w:t xml:space="preserve">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</w:t>
      </w:r>
      <w:r>
        <w:rPr>
          <w:rFonts w:ascii="Segoe UI" w:hAnsi="Segoe UI" w:cs="Segoe UI"/>
          <w:sz w:val="18"/>
          <w:szCs w:val="18"/>
        </w:rPr>
        <w:t>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</w:t>
      </w:r>
      <w:r>
        <w:rPr>
          <w:rFonts w:ascii="Segoe UI" w:hAnsi="Segoe UI" w:cs="Segoe UI"/>
          <w:sz w:val="18"/>
          <w:szCs w:val="18"/>
        </w:rPr>
        <w:t>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</w:t>
      </w:r>
      <w:r>
        <w:rPr>
          <w:rFonts w:ascii="Segoe UI" w:hAnsi="Segoe UI" w:cs="Segoe UI"/>
          <w:sz w:val="18"/>
          <w:szCs w:val="18"/>
        </w:rPr>
        <w:t xml:space="preserve">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E65DF" w:rsidRDefault="003E65DF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3E65DF" w:rsidRDefault="003F012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E65DF" w:rsidRDefault="003F0121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</w:t>
      </w:r>
      <w:r>
        <w:rPr>
          <w:rFonts w:ascii="Segoe UI" w:hAnsi="Segoe UI" w:cs="Segoe UI"/>
          <w:sz w:val="18"/>
          <w:szCs w:val="18"/>
        </w:rPr>
        <w:t>ти</w:t>
      </w:r>
    </w:p>
    <w:p w:rsidR="003E65DF" w:rsidRDefault="003F0121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3E65DF" w:rsidRDefault="003F0121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F0121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3E65DF" w:rsidRDefault="003E65DF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1" w:history="1">
        <w:r w:rsidR="003F0121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3F0121" w:rsidRPr="003F0121">
          <w:rPr>
            <w:rStyle w:val="ac"/>
            <w:rFonts w:ascii="Segoe UI" w:hAnsi="Segoe UI" w:cs="Segoe UI"/>
            <w:sz w:val="18"/>
            <w:szCs w:val="20"/>
          </w:rPr>
          <w:t>@</w:t>
        </w:r>
        <w:r w:rsidR="003F0121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3F0121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3F0121" w:rsidRPr="003F0121">
          <w:rPr>
            <w:rStyle w:val="ac"/>
            <w:rFonts w:ascii="Segoe UI" w:hAnsi="Segoe UI" w:cs="Segoe UI"/>
            <w:sz w:val="18"/>
            <w:szCs w:val="20"/>
          </w:rPr>
          <w:t>.</w:t>
        </w:r>
        <w:r w:rsidR="003F0121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3F0121" w:rsidRPr="003F0121">
          <w:rPr>
            <w:rStyle w:val="ac"/>
            <w:rFonts w:ascii="Segoe UI" w:hAnsi="Segoe UI" w:cs="Segoe UI"/>
            <w:sz w:val="18"/>
            <w:szCs w:val="20"/>
          </w:rPr>
          <w:t>.</w:t>
        </w:r>
        <w:r w:rsidR="003F0121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3F0121" w:rsidRPr="003F0121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3E65DF" w:rsidRPr="003F0121" w:rsidRDefault="003F0121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F0121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2" w:history="1">
        <w:r w:rsidRPr="003F0121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</w:t>
        </w:r>
        <w:proofErr w:type="spellStart"/>
        <w:r w:rsidRPr="003F0121">
          <w:rPr>
            <w:rFonts w:ascii="Segoe UI" w:hAnsi="Segoe UI" w:cs="Segoe UI"/>
            <w:color w:val="0000FF"/>
            <w:sz w:val="20"/>
            <w:szCs w:val="20"/>
            <w:u w:val="single"/>
          </w:rPr>
          <w:t>р</w:t>
        </w:r>
        <w:proofErr w:type="spellEnd"/>
      </w:hyperlink>
    </w:p>
    <w:p w:rsidR="003E65DF" w:rsidRDefault="003F0121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3" w:history="1">
        <w:r w:rsidRPr="003F0121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4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5" w:history="1">
        <w:proofErr w:type="spellStart"/>
        <w:r w:rsidRPr="003F0121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3F0121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3F0121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6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3E65DF" w:rsidRDefault="003E65DF">
      <w:pPr>
        <w:jc w:val="both"/>
      </w:pPr>
    </w:p>
    <w:p w:rsidR="003E65DF" w:rsidRDefault="003E65DF">
      <w:pPr>
        <w:jc w:val="both"/>
      </w:pPr>
    </w:p>
    <w:p w:rsidR="003E65DF" w:rsidRDefault="003E65DF">
      <w:pPr>
        <w:jc w:val="both"/>
      </w:pPr>
    </w:p>
    <w:p w:rsidR="003E65DF" w:rsidRDefault="003E65DF">
      <w:pPr>
        <w:jc w:val="both"/>
      </w:pPr>
    </w:p>
    <w:p w:rsidR="003E65DF" w:rsidRDefault="003E65DF">
      <w:pPr>
        <w:jc w:val="both"/>
      </w:pPr>
    </w:p>
    <w:p w:rsidR="003E65DF" w:rsidRDefault="003E65DF">
      <w:pPr>
        <w:jc w:val="both"/>
      </w:pPr>
    </w:p>
    <w:p w:rsidR="003E65DF" w:rsidRDefault="003E65DF">
      <w:pPr>
        <w:jc w:val="both"/>
      </w:pPr>
    </w:p>
    <w:p w:rsidR="003E65DF" w:rsidRDefault="003E65DF">
      <w:pPr>
        <w:jc w:val="both"/>
      </w:pPr>
    </w:p>
    <w:p w:rsidR="003E65DF" w:rsidRDefault="003E65DF">
      <w:pPr>
        <w:jc w:val="both"/>
        <w:rPr>
          <w:sz w:val="28"/>
          <w:szCs w:val="28"/>
        </w:rPr>
      </w:pPr>
    </w:p>
    <w:p w:rsidR="003E65DF" w:rsidRDefault="003E65DF">
      <w:pPr>
        <w:jc w:val="both"/>
        <w:rPr>
          <w:sz w:val="28"/>
          <w:szCs w:val="28"/>
        </w:rPr>
      </w:pPr>
    </w:p>
    <w:sectPr w:rsidR="003E65DF" w:rsidSect="003E65D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DF" w:rsidRDefault="003F0121">
      <w:r>
        <w:separator/>
      </w:r>
    </w:p>
  </w:endnote>
  <w:endnote w:type="continuationSeparator" w:id="0">
    <w:p w:rsidR="003E65DF" w:rsidRDefault="003F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DF" w:rsidRDefault="003F0121">
      <w:r>
        <w:separator/>
      </w:r>
    </w:p>
  </w:footnote>
  <w:footnote w:type="continuationSeparator" w:id="0">
    <w:p w:rsidR="003E65DF" w:rsidRDefault="003F0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B5B"/>
    <w:multiLevelType w:val="hybridMultilevel"/>
    <w:tmpl w:val="36247CB4"/>
    <w:lvl w:ilvl="0" w:tplc="6466195C">
      <w:start w:val="1"/>
      <w:numFmt w:val="decimal"/>
      <w:lvlText w:val="%1."/>
      <w:lvlJc w:val="left"/>
      <w:pPr>
        <w:ind w:left="720" w:hanging="360"/>
      </w:pPr>
    </w:lvl>
    <w:lvl w:ilvl="1" w:tplc="2F264550">
      <w:start w:val="1"/>
      <w:numFmt w:val="lowerLetter"/>
      <w:lvlText w:val="%2."/>
      <w:lvlJc w:val="left"/>
      <w:pPr>
        <w:ind w:left="1440" w:hanging="360"/>
      </w:pPr>
    </w:lvl>
    <w:lvl w:ilvl="2" w:tplc="9A3C630E">
      <w:start w:val="1"/>
      <w:numFmt w:val="lowerRoman"/>
      <w:lvlText w:val="%3."/>
      <w:lvlJc w:val="right"/>
      <w:pPr>
        <w:ind w:left="2160" w:hanging="180"/>
      </w:pPr>
    </w:lvl>
    <w:lvl w:ilvl="3" w:tplc="9866FDE4">
      <w:start w:val="1"/>
      <w:numFmt w:val="decimal"/>
      <w:lvlText w:val="%4."/>
      <w:lvlJc w:val="left"/>
      <w:pPr>
        <w:ind w:left="2880" w:hanging="360"/>
      </w:pPr>
    </w:lvl>
    <w:lvl w:ilvl="4" w:tplc="A9A82BB2">
      <w:start w:val="1"/>
      <w:numFmt w:val="lowerLetter"/>
      <w:lvlText w:val="%5."/>
      <w:lvlJc w:val="left"/>
      <w:pPr>
        <w:ind w:left="3600" w:hanging="360"/>
      </w:pPr>
    </w:lvl>
    <w:lvl w:ilvl="5" w:tplc="9EC464E0">
      <w:start w:val="1"/>
      <w:numFmt w:val="lowerRoman"/>
      <w:lvlText w:val="%6."/>
      <w:lvlJc w:val="right"/>
      <w:pPr>
        <w:ind w:left="4320" w:hanging="180"/>
      </w:pPr>
    </w:lvl>
    <w:lvl w:ilvl="6" w:tplc="3F68E308">
      <w:start w:val="1"/>
      <w:numFmt w:val="decimal"/>
      <w:lvlText w:val="%7."/>
      <w:lvlJc w:val="left"/>
      <w:pPr>
        <w:ind w:left="5040" w:hanging="360"/>
      </w:pPr>
    </w:lvl>
    <w:lvl w:ilvl="7" w:tplc="502E7CF4">
      <w:start w:val="1"/>
      <w:numFmt w:val="lowerLetter"/>
      <w:lvlText w:val="%8."/>
      <w:lvlJc w:val="left"/>
      <w:pPr>
        <w:ind w:left="5760" w:hanging="360"/>
      </w:pPr>
    </w:lvl>
    <w:lvl w:ilvl="8" w:tplc="FCEC70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38AC"/>
    <w:multiLevelType w:val="hybridMultilevel"/>
    <w:tmpl w:val="F4F063F6"/>
    <w:lvl w:ilvl="0" w:tplc="44EA2830">
      <w:start w:val="1"/>
      <w:numFmt w:val="decimal"/>
      <w:lvlText w:val="%1)"/>
      <w:lvlJc w:val="left"/>
      <w:pPr>
        <w:ind w:left="907" w:hanging="360"/>
      </w:pPr>
    </w:lvl>
    <w:lvl w:ilvl="1" w:tplc="105CF660">
      <w:start w:val="1"/>
      <w:numFmt w:val="lowerLetter"/>
      <w:lvlText w:val="%2."/>
      <w:lvlJc w:val="left"/>
      <w:pPr>
        <w:ind w:left="1627" w:hanging="360"/>
      </w:pPr>
    </w:lvl>
    <w:lvl w:ilvl="2" w:tplc="70608CA6">
      <w:start w:val="1"/>
      <w:numFmt w:val="lowerRoman"/>
      <w:lvlText w:val="%3."/>
      <w:lvlJc w:val="right"/>
      <w:pPr>
        <w:ind w:left="2347" w:hanging="180"/>
      </w:pPr>
    </w:lvl>
    <w:lvl w:ilvl="3" w:tplc="59F0B8F0">
      <w:start w:val="1"/>
      <w:numFmt w:val="decimal"/>
      <w:lvlText w:val="%4."/>
      <w:lvlJc w:val="left"/>
      <w:pPr>
        <w:ind w:left="3067" w:hanging="360"/>
      </w:pPr>
    </w:lvl>
    <w:lvl w:ilvl="4" w:tplc="5B1831DA">
      <w:start w:val="1"/>
      <w:numFmt w:val="lowerLetter"/>
      <w:lvlText w:val="%5."/>
      <w:lvlJc w:val="left"/>
      <w:pPr>
        <w:ind w:left="3787" w:hanging="360"/>
      </w:pPr>
    </w:lvl>
    <w:lvl w:ilvl="5" w:tplc="D3F4DDC0">
      <w:start w:val="1"/>
      <w:numFmt w:val="lowerRoman"/>
      <w:lvlText w:val="%6."/>
      <w:lvlJc w:val="right"/>
      <w:pPr>
        <w:ind w:left="4507" w:hanging="180"/>
      </w:pPr>
    </w:lvl>
    <w:lvl w:ilvl="6" w:tplc="8B7C7E3E">
      <w:start w:val="1"/>
      <w:numFmt w:val="decimal"/>
      <w:lvlText w:val="%7."/>
      <w:lvlJc w:val="left"/>
      <w:pPr>
        <w:ind w:left="5227" w:hanging="360"/>
      </w:pPr>
    </w:lvl>
    <w:lvl w:ilvl="7" w:tplc="7410F212">
      <w:start w:val="1"/>
      <w:numFmt w:val="lowerLetter"/>
      <w:lvlText w:val="%8."/>
      <w:lvlJc w:val="left"/>
      <w:pPr>
        <w:ind w:left="5947" w:hanging="360"/>
      </w:pPr>
    </w:lvl>
    <w:lvl w:ilvl="8" w:tplc="56A67B04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266647B9"/>
    <w:multiLevelType w:val="hybridMultilevel"/>
    <w:tmpl w:val="9DEA8E26"/>
    <w:lvl w:ilvl="0" w:tplc="B4A22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8C563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A3741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FABA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705C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45AD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6293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46F0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28633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90316E9"/>
    <w:multiLevelType w:val="hybridMultilevel"/>
    <w:tmpl w:val="4F46B796"/>
    <w:lvl w:ilvl="0" w:tplc="A1142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D36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2B2DC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796D1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9EE38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C0B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FA6D0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4253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F8863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8FC3E55"/>
    <w:multiLevelType w:val="hybridMultilevel"/>
    <w:tmpl w:val="F2541762"/>
    <w:lvl w:ilvl="0" w:tplc="5776D066">
      <w:start w:val="1"/>
      <w:numFmt w:val="decimal"/>
      <w:lvlText w:val="%1)"/>
      <w:lvlJc w:val="left"/>
      <w:pPr>
        <w:ind w:left="907" w:hanging="360"/>
      </w:pPr>
    </w:lvl>
    <w:lvl w:ilvl="1" w:tplc="5A46863A">
      <w:start w:val="1"/>
      <w:numFmt w:val="lowerLetter"/>
      <w:lvlText w:val="%2."/>
      <w:lvlJc w:val="left"/>
      <w:pPr>
        <w:ind w:left="1627" w:hanging="360"/>
      </w:pPr>
    </w:lvl>
    <w:lvl w:ilvl="2" w:tplc="EFDECCE0">
      <w:start w:val="1"/>
      <w:numFmt w:val="lowerRoman"/>
      <w:lvlText w:val="%3."/>
      <w:lvlJc w:val="right"/>
      <w:pPr>
        <w:ind w:left="2347" w:hanging="180"/>
      </w:pPr>
    </w:lvl>
    <w:lvl w:ilvl="3" w:tplc="3D80A5F4">
      <w:start w:val="1"/>
      <w:numFmt w:val="decimal"/>
      <w:lvlText w:val="%4."/>
      <w:lvlJc w:val="left"/>
      <w:pPr>
        <w:ind w:left="3067" w:hanging="360"/>
      </w:pPr>
    </w:lvl>
    <w:lvl w:ilvl="4" w:tplc="24C051B0">
      <w:start w:val="1"/>
      <w:numFmt w:val="lowerLetter"/>
      <w:lvlText w:val="%5."/>
      <w:lvlJc w:val="left"/>
      <w:pPr>
        <w:ind w:left="3787" w:hanging="360"/>
      </w:pPr>
    </w:lvl>
    <w:lvl w:ilvl="5" w:tplc="550E8ABC">
      <w:start w:val="1"/>
      <w:numFmt w:val="lowerRoman"/>
      <w:lvlText w:val="%6."/>
      <w:lvlJc w:val="right"/>
      <w:pPr>
        <w:ind w:left="4507" w:hanging="180"/>
      </w:pPr>
    </w:lvl>
    <w:lvl w:ilvl="6" w:tplc="B0AA0F94">
      <w:start w:val="1"/>
      <w:numFmt w:val="decimal"/>
      <w:lvlText w:val="%7."/>
      <w:lvlJc w:val="left"/>
      <w:pPr>
        <w:ind w:left="5227" w:hanging="360"/>
      </w:pPr>
    </w:lvl>
    <w:lvl w:ilvl="7" w:tplc="18DCFAC0">
      <w:start w:val="1"/>
      <w:numFmt w:val="lowerLetter"/>
      <w:lvlText w:val="%8."/>
      <w:lvlJc w:val="left"/>
      <w:pPr>
        <w:ind w:left="5947" w:hanging="360"/>
      </w:pPr>
    </w:lvl>
    <w:lvl w:ilvl="8" w:tplc="4D820E1A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64BA0A6C"/>
    <w:multiLevelType w:val="hybridMultilevel"/>
    <w:tmpl w:val="1FEE6FEA"/>
    <w:lvl w:ilvl="0" w:tplc="C2B086C6">
      <w:start w:val="1"/>
      <w:numFmt w:val="decimal"/>
      <w:lvlText w:val="%1."/>
      <w:lvlJc w:val="left"/>
      <w:pPr>
        <w:ind w:left="6740" w:hanging="360"/>
      </w:pPr>
    </w:lvl>
    <w:lvl w:ilvl="1" w:tplc="C958D636">
      <w:start w:val="1"/>
      <w:numFmt w:val="lowerLetter"/>
      <w:lvlText w:val="%2."/>
      <w:lvlJc w:val="left"/>
      <w:pPr>
        <w:ind w:left="1440" w:hanging="360"/>
      </w:pPr>
    </w:lvl>
    <w:lvl w:ilvl="2" w:tplc="8C4A6FA0">
      <w:start w:val="1"/>
      <w:numFmt w:val="lowerRoman"/>
      <w:lvlText w:val="%3."/>
      <w:lvlJc w:val="right"/>
      <w:pPr>
        <w:ind w:left="2160" w:hanging="180"/>
      </w:pPr>
    </w:lvl>
    <w:lvl w:ilvl="3" w:tplc="A5508F48">
      <w:start w:val="1"/>
      <w:numFmt w:val="decimal"/>
      <w:lvlText w:val="%4."/>
      <w:lvlJc w:val="left"/>
      <w:pPr>
        <w:ind w:left="2880" w:hanging="360"/>
      </w:pPr>
    </w:lvl>
    <w:lvl w:ilvl="4" w:tplc="57CCAE56">
      <w:start w:val="1"/>
      <w:numFmt w:val="lowerLetter"/>
      <w:lvlText w:val="%5."/>
      <w:lvlJc w:val="left"/>
      <w:pPr>
        <w:ind w:left="3600" w:hanging="360"/>
      </w:pPr>
    </w:lvl>
    <w:lvl w:ilvl="5" w:tplc="BFA832B6">
      <w:start w:val="1"/>
      <w:numFmt w:val="lowerRoman"/>
      <w:lvlText w:val="%6."/>
      <w:lvlJc w:val="right"/>
      <w:pPr>
        <w:ind w:left="4320" w:hanging="180"/>
      </w:pPr>
    </w:lvl>
    <w:lvl w:ilvl="6" w:tplc="C3E00330">
      <w:start w:val="1"/>
      <w:numFmt w:val="decimal"/>
      <w:lvlText w:val="%7."/>
      <w:lvlJc w:val="left"/>
      <w:pPr>
        <w:ind w:left="5040" w:hanging="360"/>
      </w:pPr>
    </w:lvl>
    <w:lvl w:ilvl="7" w:tplc="98EE75A8">
      <w:start w:val="1"/>
      <w:numFmt w:val="lowerLetter"/>
      <w:lvlText w:val="%8."/>
      <w:lvlJc w:val="left"/>
      <w:pPr>
        <w:ind w:left="5760" w:hanging="360"/>
      </w:pPr>
    </w:lvl>
    <w:lvl w:ilvl="8" w:tplc="1C40078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D34FA"/>
    <w:multiLevelType w:val="hybridMultilevel"/>
    <w:tmpl w:val="28EA131A"/>
    <w:lvl w:ilvl="0" w:tplc="3F26074E">
      <w:start w:val="1"/>
      <w:numFmt w:val="decimal"/>
      <w:lvlText w:val="%1)"/>
      <w:lvlJc w:val="left"/>
      <w:pPr>
        <w:ind w:left="720" w:hanging="360"/>
      </w:pPr>
    </w:lvl>
    <w:lvl w:ilvl="1" w:tplc="A7C840FA">
      <w:start w:val="1"/>
      <w:numFmt w:val="lowerLetter"/>
      <w:lvlText w:val="%2."/>
      <w:lvlJc w:val="left"/>
      <w:pPr>
        <w:ind w:left="1440" w:hanging="360"/>
      </w:pPr>
    </w:lvl>
    <w:lvl w:ilvl="2" w:tplc="3AFADC36">
      <w:start w:val="1"/>
      <w:numFmt w:val="lowerRoman"/>
      <w:lvlText w:val="%3."/>
      <w:lvlJc w:val="right"/>
      <w:pPr>
        <w:ind w:left="2160" w:hanging="180"/>
      </w:pPr>
    </w:lvl>
    <w:lvl w:ilvl="3" w:tplc="8918EF8C">
      <w:start w:val="1"/>
      <w:numFmt w:val="decimal"/>
      <w:lvlText w:val="%4."/>
      <w:lvlJc w:val="left"/>
      <w:pPr>
        <w:ind w:left="2880" w:hanging="360"/>
      </w:pPr>
    </w:lvl>
    <w:lvl w:ilvl="4" w:tplc="8566F994">
      <w:start w:val="1"/>
      <w:numFmt w:val="lowerLetter"/>
      <w:lvlText w:val="%5."/>
      <w:lvlJc w:val="left"/>
      <w:pPr>
        <w:ind w:left="3600" w:hanging="360"/>
      </w:pPr>
    </w:lvl>
    <w:lvl w:ilvl="5" w:tplc="60505382">
      <w:start w:val="1"/>
      <w:numFmt w:val="lowerRoman"/>
      <w:lvlText w:val="%6."/>
      <w:lvlJc w:val="right"/>
      <w:pPr>
        <w:ind w:left="4320" w:hanging="180"/>
      </w:pPr>
    </w:lvl>
    <w:lvl w:ilvl="6" w:tplc="0ED07E8C">
      <w:start w:val="1"/>
      <w:numFmt w:val="decimal"/>
      <w:lvlText w:val="%7."/>
      <w:lvlJc w:val="left"/>
      <w:pPr>
        <w:ind w:left="5040" w:hanging="360"/>
      </w:pPr>
    </w:lvl>
    <w:lvl w:ilvl="7" w:tplc="4308108A">
      <w:start w:val="1"/>
      <w:numFmt w:val="lowerLetter"/>
      <w:lvlText w:val="%8."/>
      <w:lvlJc w:val="left"/>
      <w:pPr>
        <w:ind w:left="5760" w:hanging="360"/>
      </w:pPr>
    </w:lvl>
    <w:lvl w:ilvl="8" w:tplc="C07E39D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04F11"/>
    <w:multiLevelType w:val="hybridMultilevel"/>
    <w:tmpl w:val="22D215CE"/>
    <w:lvl w:ilvl="0" w:tplc="E9BC5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B645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2261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5CA0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3804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323A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42C1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A01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3022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5DF"/>
    <w:rsid w:val="003E65DF"/>
    <w:rsid w:val="003F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DF"/>
    <w:rPr>
      <w:sz w:val="24"/>
      <w:szCs w:val="24"/>
      <w:lang w:eastAsia="ru-RU"/>
    </w:rPr>
  </w:style>
  <w:style w:type="paragraph" w:styleId="3">
    <w:name w:val="heading 3"/>
    <w:basedOn w:val="a"/>
    <w:qFormat/>
    <w:rsid w:val="003E65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E65D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E65D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E65D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E65D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E65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E65D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E65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E65D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E65D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E65D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E65D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E65D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E65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E65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E65D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E65D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E65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E65D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E65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3E65DF"/>
  </w:style>
  <w:style w:type="paragraph" w:styleId="a5">
    <w:name w:val="Title"/>
    <w:basedOn w:val="a"/>
    <w:link w:val="a6"/>
    <w:qFormat/>
    <w:rsid w:val="003E65DF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3E65D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E65D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E65D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E65D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E65D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E65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E65D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E65D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E65DF"/>
  </w:style>
  <w:style w:type="paragraph" w:customStyle="1" w:styleId="Footer">
    <w:name w:val="Footer"/>
    <w:basedOn w:val="a"/>
    <w:link w:val="CaptionChar"/>
    <w:uiPriority w:val="99"/>
    <w:unhideWhenUsed/>
    <w:rsid w:val="003E65D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E65D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E65D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E65DF"/>
  </w:style>
  <w:style w:type="table" w:styleId="ab">
    <w:name w:val="Table Grid"/>
    <w:basedOn w:val="a1"/>
    <w:rsid w:val="003E65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E65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E65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E65D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E65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E65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E65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E65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E65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E65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E65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E65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E65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E65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E65D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E65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E65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E65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E65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E65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E65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E65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E65D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E65D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E65D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E65D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E65D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E65D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E65D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E65D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E65D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E65D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E65D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E65D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E65D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E65D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E65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E65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E65DF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E65D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E65DF"/>
    <w:rPr>
      <w:sz w:val="18"/>
    </w:rPr>
  </w:style>
  <w:style w:type="character" w:styleId="af">
    <w:name w:val="footnote reference"/>
    <w:uiPriority w:val="99"/>
    <w:unhideWhenUsed/>
    <w:rsid w:val="003E65D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E65D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E65DF"/>
    <w:rPr>
      <w:sz w:val="20"/>
    </w:rPr>
  </w:style>
  <w:style w:type="character" w:styleId="af2">
    <w:name w:val="endnote reference"/>
    <w:uiPriority w:val="99"/>
    <w:semiHidden/>
    <w:unhideWhenUsed/>
    <w:rsid w:val="003E65D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E65DF"/>
    <w:pPr>
      <w:spacing w:after="57"/>
    </w:pPr>
  </w:style>
  <w:style w:type="paragraph" w:styleId="21">
    <w:name w:val="toc 2"/>
    <w:basedOn w:val="a"/>
    <w:next w:val="a"/>
    <w:uiPriority w:val="39"/>
    <w:unhideWhenUsed/>
    <w:rsid w:val="003E65D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E65D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E65D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E65D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E65D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E65D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E65D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E65DF"/>
    <w:pPr>
      <w:spacing w:after="57"/>
      <w:ind w:left="2268"/>
    </w:pPr>
  </w:style>
  <w:style w:type="paragraph" w:styleId="af3">
    <w:name w:val="TOC Heading"/>
    <w:uiPriority w:val="39"/>
    <w:unhideWhenUsed/>
    <w:rsid w:val="003E65DF"/>
  </w:style>
  <w:style w:type="paragraph" w:styleId="af4">
    <w:name w:val="table of figures"/>
    <w:basedOn w:val="a"/>
    <w:next w:val="a"/>
    <w:uiPriority w:val="99"/>
    <w:unhideWhenUsed/>
    <w:rsid w:val="003E65DF"/>
  </w:style>
  <w:style w:type="paragraph" w:styleId="af5">
    <w:name w:val="Balloon Text"/>
    <w:basedOn w:val="a"/>
    <w:semiHidden/>
    <w:rsid w:val="003E65D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3E65DF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3E65DF"/>
    <w:pPr>
      <w:spacing w:after="120"/>
    </w:pPr>
  </w:style>
  <w:style w:type="paragraph" w:styleId="af8">
    <w:name w:val="Normal (Web)"/>
    <w:basedOn w:val="a"/>
    <w:uiPriority w:val="99"/>
    <w:rsid w:val="003E65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65DF"/>
  </w:style>
  <w:style w:type="character" w:customStyle="1" w:styleId="visited">
    <w:name w:val="visited"/>
    <w:basedOn w:val="a0"/>
    <w:rsid w:val="003E65DF"/>
  </w:style>
  <w:style w:type="character" w:customStyle="1" w:styleId="blk">
    <w:name w:val="blk"/>
    <w:basedOn w:val="a0"/>
    <w:rsid w:val="003E65DF"/>
  </w:style>
  <w:style w:type="character" w:customStyle="1" w:styleId="match">
    <w:name w:val="match"/>
    <w:basedOn w:val="a0"/>
    <w:rsid w:val="003E65DF"/>
  </w:style>
  <w:style w:type="paragraph" w:customStyle="1" w:styleId="formattexttopleveltext">
    <w:name w:val="formattext topleveltext"/>
    <w:basedOn w:val="a"/>
    <w:rsid w:val="003E65DF"/>
    <w:pPr>
      <w:spacing w:before="100" w:beforeAutospacing="1" w:after="100" w:afterAutospacing="1"/>
    </w:pPr>
  </w:style>
  <w:style w:type="paragraph" w:styleId="22">
    <w:name w:val="Body Text Indent 2"/>
    <w:basedOn w:val="a"/>
    <w:rsid w:val="003E65DF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3E65DF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3E65D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3E65DF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3E65DF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3E65DF"/>
    <w:rPr>
      <w:b/>
      <w:bCs/>
    </w:rPr>
  </w:style>
  <w:style w:type="character" w:styleId="afb">
    <w:name w:val="Emphasis"/>
    <w:uiPriority w:val="20"/>
    <w:qFormat/>
    <w:rsid w:val="003E65DF"/>
    <w:rPr>
      <w:i/>
      <w:iCs/>
    </w:rPr>
  </w:style>
  <w:style w:type="paragraph" w:customStyle="1" w:styleId="Standard">
    <w:name w:val="Standard"/>
    <w:qFormat/>
    <w:rsid w:val="003E65D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?w=wall-118967869_5031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o@r54.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zen.ru/rosreestr_nsk" TargetMode="External"/><Relationship Id="rId10" Type="http://schemas.openxmlformats.org/officeDocument/2006/relationships/hyperlink" Target="https://rosreestr.gov.ru/open-service/statistika-i-analitika/informatsiya-ob-snt-popadayushchikh-v-programmu-gazifikatsii-4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upload/Doc/press/%D0%93%D0%B0%D0%B7%D0%B8%D1%84%D0%B8%D0%BA%D0%B0%D1%86%D0%B8%D1%8F-2024(%D0%B8%D1%82%D0%BE%D0%B3).pdf" TargetMode="External"/><Relationship Id="rId14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304</cp:revision>
  <dcterms:created xsi:type="dcterms:W3CDTF">2009-04-08T02:19:00Z</dcterms:created>
  <dcterms:modified xsi:type="dcterms:W3CDTF">2025-09-04T05:01:00Z</dcterms:modified>
  <cp:version>917504</cp:version>
</cp:coreProperties>
</file>