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5E165F" w:rsidRPr="007A5978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4E03D9" w:rsidRPr="00B80CC2" w:rsidRDefault="00233235" w:rsidP="004E03D9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Что нужно знать новосибирцам об установлении единого пособия: важные изменения 2025 года</w:t>
      </w:r>
    </w:p>
    <w:p w:rsidR="004E03D9" w:rsidRPr="007A5978" w:rsidRDefault="004E03D9" w:rsidP="007A5978">
      <w:pPr>
        <w:pStyle w:val="af7"/>
        <w:ind w:firstLine="567"/>
        <w:jc w:val="both"/>
        <w:rPr>
          <w:sz w:val="26"/>
          <w:szCs w:val="26"/>
        </w:rPr>
      </w:pPr>
      <w:r w:rsidRPr="007A5978">
        <w:rPr>
          <w:sz w:val="26"/>
          <w:szCs w:val="26"/>
        </w:rPr>
        <w:t xml:space="preserve">На вопросы отвечает заместитель управляющего Отделением Социального фонда России по Новосибирской области </w:t>
      </w:r>
      <w:r w:rsidR="00AA1BD7">
        <w:rPr>
          <w:sz w:val="26"/>
          <w:szCs w:val="26"/>
        </w:rPr>
        <w:t xml:space="preserve">Людмила </w:t>
      </w:r>
      <w:r w:rsidR="00AA1BD7">
        <w:rPr>
          <w:sz w:val="26"/>
          <w:szCs w:val="26"/>
        </w:rPr>
        <w:t>Якушенко</w:t>
      </w:r>
      <w:r w:rsidRPr="007A5978">
        <w:rPr>
          <w:sz w:val="26"/>
          <w:szCs w:val="26"/>
        </w:rPr>
        <w:t xml:space="preserve">. </w:t>
      </w:r>
    </w:p>
    <w:p w:rsidR="004E03D9" w:rsidRPr="007A5978" w:rsidRDefault="004E03D9" w:rsidP="007A5978">
      <w:pPr>
        <w:pStyle w:val="af7"/>
        <w:ind w:firstLine="567"/>
        <w:jc w:val="both"/>
        <w:rPr>
          <w:sz w:val="16"/>
          <w:szCs w:val="16"/>
        </w:rPr>
      </w:pPr>
    </w:p>
    <w:p w:rsidR="00AA1BD7" w:rsidRPr="00AA1BD7" w:rsidRDefault="00AA1BD7" w:rsidP="00AA1BD7">
      <w:pPr>
        <w:pStyle w:val="af7"/>
        <w:ind w:firstLine="567"/>
        <w:jc w:val="both"/>
        <w:rPr>
          <w:b/>
          <w:i/>
          <w:sz w:val="26"/>
          <w:szCs w:val="26"/>
          <w:shd w:val="clear" w:color="auto" w:fill="FFFFFF"/>
        </w:rPr>
      </w:pPr>
      <w:r w:rsidRPr="00AA1BD7">
        <w:rPr>
          <w:b/>
          <w:i/>
          <w:sz w:val="26"/>
          <w:szCs w:val="26"/>
          <w:shd w:val="clear" w:color="auto" w:fill="FFFFFF"/>
        </w:rPr>
        <w:t xml:space="preserve">- </w:t>
      </w:r>
      <w:r>
        <w:rPr>
          <w:b/>
          <w:i/>
          <w:sz w:val="26"/>
          <w:szCs w:val="26"/>
          <w:shd w:val="clear" w:color="auto" w:fill="FFFFFF"/>
        </w:rPr>
        <w:t>Людмила Алексеевна, з</w:t>
      </w:r>
      <w:r w:rsidRPr="00AA1BD7">
        <w:rPr>
          <w:b/>
          <w:i/>
          <w:sz w:val="26"/>
          <w:szCs w:val="26"/>
          <w:shd w:val="clear" w:color="auto" w:fill="FFFFFF"/>
        </w:rPr>
        <w:t>дравствуйте. И в прошлом, и в текущем году вносились изменения в правила установления детских пособий, в том числе единого пособия для будущих мам и детей в возрасте до 17 лет. Какие самые серьезные изменения коснулись получателей пособия? Что сегодня нужно знать новосибирцам, чтобы им назначили или продлили единое пособие?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 xml:space="preserve">Сегодня получателями единого пособия являются более 120 тысяч семей региона. Пособие выплачивается почти на 235 тысяч детей и свыше 5 тысяч будущих мам. Тем не менее, у граждан остаются вопросы по установлению пособия в связи с тем, что в правила его установления вносились важные изменения. Одно из них – установление минимальной «планки» обязательного дохода от трудовой деятельности для трудоспособных членов семьи. С 1 января 2025 года для получения пособия минимальный доход каждого трудоспособного члена семьи должен составлять не менее 4 МРОТ. В текущем году минимальный размер оплаты труда составляет 22 440 руб. Таким образом, доход каждого трудоспособного члена семьи, вне зависимости от формы занятости, то есть </w:t>
      </w:r>
      <w:proofErr w:type="spellStart"/>
      <w:r w:rsidRPr="00AA1BD7">
        <w:rPr>
          <w:sz w:val="26"/>
          <w:szCs w:val="26"/>
        </w:rPr>
        <w:t>самозанятый</w:t>
      </w:r>
      <w:proofErr w:type="spellEnd"/>
      <w:r w:rsidRPr="00AA1BD7">
        <w:rPr>
          <w:sz w:val="26"/>
          <w:szCs w:val="26"/>
        </w:rPr>
        <w:t xml:space="preserve"> он или наемный работник, должен составлять не менее 89 760 рублей за 12 месяцев. При этом правило нулевого дохода сохранено: доход может отсутствовать по уважительной причине. К их числу относятся декретный отпуск, уход за ребенком до 3 лет или ребенком с инвалидностью, длительное лечение и другие. Отмечу, что получать единое пособие на новорожденного ребенка семьям с этого года стало проще. Если семья уже получает выплаты на старших детей, Отделение СФР по Новосибирской области назначит единое пособие на новорожденного </w:t>
      </w:r>
      <w:proofErr w:type="spellStart"/>
      <w:r w:rsidRPr="00AA1BD7">
        <w:rPr>
          <w:sz w:val="26"/>
          <w:szCs w:val="26"/>
        </w:rPr>
        <w:t>проактивно</w:t>
      </w:r>
      <w:proofErr w:type="spellEnd"/>
      <w:r w:rsidRPr="00AA1BD7">
        <w:rPr>
          <w:sz w:val="26"/>
          <w:szCs w:val="26"/>
        </w:rPr>
        <w:t xml:space="preserve"> без проведения комплексной оценки нуждаемости и в том же размере. В таком режиме мы уже назначили в текущем году пособие более чем на 7 тысяч детей. 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</w:p>
    <w:p w:rsidR="00AA1BD7" w:rsidRPr="00AA1BD7" w:rsidRDefault="00AA1BD7" w:rsidP="00AA1BD7">
      <w:pPr>
        <w:ind w:firstLine="567"/>
        <w:jc w:val="both"/>
        <w:rPr>
          <w:b/>
          <w:i/>
          <w:sz w:val="26"/>
          <w:szCs w:val="26"/>
        </w:rPr>
      </w:pPr>
      <w:r w:rsidRPr="00AA1BD7">
        <w:rPr>
          <w:b/>
          <w:i/>
          <w:sz w:val="26"/>
          <w:szCs w:val="26"/>
        </w:rPr>
        <w:t>- Изменился ли перечень доходов, которые учитываются при оценке нуждаемости семьи?</w:t>
      </w:r>
    </w:p>
    <w:p w:rsidR="00AA1BD7" w:rsidRPr="00AA1BD7" w:rsidRDefault="00AA1BD7" w:rsidP="00AA1BD7">
      <w:pPr>
        <w:suppressAutoHyphens w:val="0"/>
        <w:spacing w:after="200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>Единое пособие устанавливается на основе комплексной оценки нуждаемости. Один из факторов – доходы семьи. Пособие устанавливается тем семьям, чей среднедушевой доход ниже прожиточного минимума в регионе. В доход идет заработная плата членов семьи, пенсии, ряд пособий. С 2025 года расширился перечень доходов, которые не учитываются при назначении единого пособия. По новым правилам при оценке нуждаемости Отделение СФР по Новосибирской области теперь не учитывает: выплаты в возмещение ущерба, причиненного жизни и здоровью военнослужащим в связи с участием в боевых действиях, а также средства, выделенные семье на ремонт дома погибшего военнослужащего – кормильца семьи. Не берутся теперь в расчет и выплаты на детей, которые не включены на момент подачи заявления в состав семьи. Это, например, падчерицы или пасынки заявителя, которые являются детьми супруга. Исключены из перечня учи</w:t>
      </w:r>
      <w:r>
        <w:rPr>
          <w:sz w:val="26"/>
          <w:szCs w:val="26"/>
        </w:rPr>
        <w:t xml:space="preserve">тываемых доходов и компенсации </w:t>
      </w:r>
      <w:r w:rsidRPr="00AA1BD7">
        <w:rPr>
          <w:sz w:val="26"/>
          <w:szCs w:val="26"/>
        </w:rPr>
        <w:t>взамен бесплатного питания учащимся с ограниченными возможностями здоровья, обучение которых организовано на дому. По-прежнему не учитываются доходы мобилизованных граждан. Полный перечень доходов, которые учитываются при назначении единого пособия, можно найти на сайте СФР.</w:t>
      </w:r>
    </w:p>
    <w:p w:rsidR="00AA1BD7" w:rsidRPr="00AA1BD7" w:rsidRDefault="00AA1BD7" w:rsidP="00AA1BD7">
      <w:pPr>
        <w:pStyle w:val="af7"/>
        <w:ind w:firstLine="567"/>
        <w:jc w:val="both"/>
        <w:rPr>
          <w:b/>
          <w:i/>
          <w:sz w:val="26"/>
          <w:szCs w:val="26"/>
        </w:rPr>
      </w:pPr>
      <w:r w:rsidRPr="00AA1BD7">
        <w:rPr>
          <w:b/>
          <w:i/>
          <w:sz w:val="26"/>
          <w:szCs w:val="26"/>
        </w:rPr>
        <w:t xml:space="preserve">- Один из самых задаваемых сегодня вопросов: как в 2025 году учитываются алименты при установлении пособия? Как правильно заполнить заявление при наличии решения суда и при его отсутствии? 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 xml:space="preserve">Полученные алименты по-прежнему входят в доход семьи. Если у родителя в разводе есть решение суда о сумме алиментов, то, как и в прошлом году, в доход будет учитываться фактически поступившая сумма. Ее нужно указать при подаче в Отделение СФР по Новосибирской области заявления на единое пособие и представить решение суда. При наличии исполнительного производства в заявлении необходимо указать «алименты получаю на основании возбужденного производства в ФССП», а также реквизиты документа. Сведения о взысканных алиментах подтверждаются информацией от Службы судебных приставов в рамках межведомственного взаимодействия. 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 xml:space="preserve">Если же родители договорились об алиментах устно или в нотариальном соглашении, то будет учитываться сумма, указанная в заявлении (соглашении), но не меньше: ¼ МРОТ (5 610 руб.) — на одного ребенка, ⅓ МРОТ (7 490 руб.) — на двоих, ½ МРОТ (11 220 руб.) — на трех и более детей. С 1 января 2025 года МРОТ в Российской Федерации составляет 22 440 рублей. При этом, если у мамы статус одинокой матери (в заявлении нужно указать «являюсь единственным родителем»), то на того ребёнка, у которого в графе «отец» стоит прочерк, алименты от МРОТ учитываться не будут. Если же у ребёнка в свидетельстве о рождении указан отец, но родители не были официально в браке, то считаются алименты по сумме, указанной в заявлении. </w:t>
      </w:r>
    </w:p>
    <w:p w:rsid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>Учитываются алименты, полученные в расчетном периоде. Он составляет 12 месяцев прошедшего года. Чтобы новосибирцам определить начало расчетного периода, нужно от месяца подачи заявления отнять 13 месяцев. Например, если подавать заявление в</w:t>
      </w:r>
      <w:r>
        <w:rPr>
          <w:sz w:val="26"/>
          <w:szCs w:val="26"/>
        </w:rPr>
        <w:t xml:space="preserve"> ноябре, то расчетный период — </w:t>
      </w:r>
      <w:r w:rsidRPr="00AA1BD7">
        <w:rPr>
          <w:sz w:val="26"/>
          <w:szCs w:val="26"/>
        </w:rPr>
        <w:t xml:space="preserve">с октября 2024 года по сентябрь 2025 года, поэтому </w:t>
      </w:r>
      <w:r w:rsidRPr="00AA1BD7">
        <w:rPr>
          <w:rStyle w:val="a6"/>
          <w:b w:val="0"/>
          <w:sz w:val="26"/>
          <w:szCs w:val="26"/>
        </w:rPr>
        <w:t>алименты должны быть получены именно в указанном промежутке.</w:t>
      </w:r>
      <w:r w:rsidRPr="00AA1BD7">
        <w:rPr>
          <w:rStyle w:val="a6"/>
          <w:sz w:val="26"/>
          <w:szCs w:val="26"/>
        </w:rPr>
        <w:t xml:space="preserve"> </w:t>
      </w:r>
      <w:r w:rsidRPr="00AA1BD7">
        <w:rPr>
          <w:sz w:val="26"/>
          <w:szCs w:val="26"/>
        </w:rPr>
        <w:t xml:space="preserve">Очень важно правильно заполнить заявление: одной из распространенных причин отказа в установлении пособия является предоставление недостоверных или некорректных данных в заявлении. </w:t>
      </w:r>
    </w:p>
    <w:p w:rsidR="00233235" w:rsidRPr="00AA1BD7" w:rsidRDefault="00233235" w:rsidP="00AA1BD7">
      <w:pPr>
        <w:pStyle w:val="af7"/>
        <w:ind w:firstLine="567"/>
        <w:jc w:val="both"/>
        <w:rPr>
          <w:sz w:val="26"/>
          <w:szCs w:val="26"/>
        </w:rPr>
      </w:pPr>
    </w:p>
    <w:p w:rsidR="00AA1BD7" w:rsidRPr="00AA1BD7" w:rsidRDefault="00AA1BD7" w:rsidP="00AA1BD7">
      <w:pPr>
        <w:suppressAutoHyphens w:val="0"/>
        <w:spacing w:after="200"/>
        <w:ind w:firstLine="567"/>
        <w:jc w:val="both"/>
        <w:rPr>
          <w:sz w:val="26"/>
          <w:szCs w:val="26"/>
        </w:rPr>
      </w:pPr>
      <w:r w:rsidRPr="00AA1BD7">
        <w:rPr>
          <w:b/>
          <w:i/>
          <w:sz w:val="26"/>
          <w:szCs w:val="26"/>
        </w:rPr>
        <w:t>- Еще один из актуальных вопросов:</w:t>
      </w:r>
      <w:r w:rsidRPr="00AA1BD7">
        <w:rPr>
          <w:sz w:val="26"/>
          <w:szCs w:val="26"/>
        </w:rPr>
        <w:t xml:space="preserve"> </w:t>
      </w:r>
      <w:r w:rsidRPr="00AA1BD7">
        <w:rPr>
          <w:b/>
          <w:i/>
          <w:sz w:val="26"/>
          <w:szCs w:val="26"/>
        </w:rPr>
        <w:t xml:space="preserve">как учитывается банковский вклад при назначении пособия? </w:t>
      </w:r>
    </w:p>
    <w:p w:rsidR="00AA1BD7" w:rsidRPr="00AA1BD7" w:rsidRDefault="00AA1BD7" w:rsidP="00AA1BD7">
      <w:pPr>
        <w:suppressAutoHyphens w:val="0"/>
        <w:spacing w:after="200"/>
        <w:ind w:firstLine="567"/>
        <w:jc w:val="both"/>
        <w:rPr>
          <w:rStyle w:val="vkitposttextroot--otcaj"/>
          <w:sz w:val="26"/>
          <w:szCs w:val="26"/>
        </w:rPr>
      </w:pPr>
      <w:r w:rsidRPr="00AA1BD7">
        <w:rPr>
          <w:sz w:val="26"/>
          <w:szCs w:val="26"/>
        </w:rPr>
        <w:t xml:space="preserve">Что касается банковских вкладов: </w:t>
      </w:r>
      <w:r w:rsidRPr="00AA1BD7">
        <w:rPr>
          <w:rStyle w:val="vkitposttextroot--otcaj"/>
          <w:sz w:val="26"/>
          <w:szCs w:val="26"/>
        </w:rPr>
        <w:t xml:space="preserve">если семья имеет вклады и счета в банках, то при оценке нуждаемости будут учитывать доходы от процентов по ним. Пособие назначат только в том случае, если общий доход от процентов не превышает </w:t>
      </w:r>
      <w:hyperlink r:id="rId7" w:history="1">
        <w:r w:rsidRPr="00AA1BD7">
          <w:rPr>
            <w:rStyle w:val="a3"/>
            <w:color w:val="auto"/>
            <w:sz w:val="26"/>
            <w:szCs w:val="26"/>
            <w:u w:val="none"/>
          </w:rPr>
          <w:t>региональный прожиточный минимум</w:t>
        </w:r>
      </w:hyperlink>
      <w:r w:rsidRPr="00AA1BD7">
        <w:rPr>
          <w:rStyle w:val="vkitposttextroot--otcaj"/>
          <w:sz w:val="26"/>
          <w:szCs w:val="26"/>
        </w:rPr>
        <w:t xml:space="preserve">. В Новосибирской области в 2025 году этот «порог» составляет 17 378 рублей. Все доходы от процентов по ним складываются и сравниваются с прожиточным минимумом в регионе. При определении права доход от вклада учитывается общей суммой, то есть, не делится на количество членов семьи и не берётся пропорционально сумме месяцев, вошедших в расчетный период. Для расчета берутся вклады всех членов семьи за прошлый год. Если вклад закрыт за 6 месяцев до обращения за пособием, то он не является основанием для отказа, даже если доходы с него выше ПМ. Таким образом, </w:t>
      </w:r>
      <w:r w:rsidRPr="00AA1BD7">
        <w:rPr>
          <w:sz w:val="26"/>
          <w:szCs w:val="26"/>
        </w:rPr>
        <w:t xml:space="preserve">чтобы избежать отказа в получении единого пособия из-за дохода в виде процентов, превышающих установленный предел, необходимо подать заявление не ранее, чем через 6 месяцев после закрытия счёта в банке. Например, если заявление необходимо подать в ноябре, то вклад должен быть закрыт в апреле текущего года. </w:t>
      </w:r>
      <w:r w:rsidRPr="00AA1BD7">
        <w:rPr>
          <w:rStyle w:val="vkitposttextroot--otcaj"/>
          <w:sz w:val="26"/>
          <w:szCs w:val="26"/>
        </w:rPr>
        <w:t xml:space="preserve">Обращу также внимание, что, если право на пособие будет установлено, то сумма процентов войдет в расчет среднедушевого дохода. В том числе и уже закрытый вклад, если он попадает в расчетный период. Для одобрения выплаты средний доход на человека в семье также не должен превышать прожиточный минимум. </w:t>
      </w:r>
    </w:p>
    <w:p w:rsidR="00AA1BD7" w:rsidRPr="00AA1BD7" w:rsidRDefault="00AA1BD7" w:rsidP="00AA1BD7">
      <w:pPr>
        <w:suppressAutoHyphens w:val="0"/>
        <w:spacing w:after="200"/>
        <w:ind w:firstLine="567"/>
        <w:jc w:val="both"/>
        <w:rPr>
          <w:b/>
          <w:i/>
          <w:sz w:val="26"/>
          <w:szCs w:val="26"/>
        </w:rPr>
      </w:pPr>
      <w:r w:rsidRPr="00AA1BD7">
        <w:rPr>
          <w:b/>
          <w:i/>
          <w:sz w:val="26"/>
          <w:szCs w:val="26"/>
        </w:rPr>
        <w:t xml:space="preserve">- Если семья переезжает в другой регион или приезжает в наш на постоянное место жительства, право на пособие сохраняется? </w:t>
      </w:r>
    </w:p>
    <w:p w:rsidR="00AA1BD7" w:rsidRPr="00AA1BD7" w:rsidRDefault="00AA1BD7" w:rsidP="00AA1BD7">
      <w:pPr>
        <w:suppressAutoHyphens w:val="0"/>
        <w:spacing w:after="200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 xml:space="preserve">В случае переезда семьи в другой регион родителям, получающим единое пособие, нужно обязательно сообщить об этом в региональное Отделение Социального фонда. Такое условие получения выплаты связано с тем, что право на пособие, а также его размер определяются по прожиточному минимуму в конкретном регионе. Например, в Новосибирской области прожиточный минимум для определения права на пособие – 17 378 рублей, размеры же единого пособия для будущих мам исчисляются из размера ПМ для трудоспособного населения – 18 942 рубля, единого пособия на детей – из размера ПМ для детей – 16 857 рублей. </w:t>
      </w:r>
    </w:p>
    <w:p w:rsidR="00AA1BD7" w:rsidRPr="00AA1BD7" w:rsidRDefault="00AA1BD7" w:rsidP="00AA1BD7">
      <w:pPr>
        <w:suppressAutoHyphens w:val="0"/>
        <w:spacing w:after="200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 xml:space="preserve">После переезда в регион с другим прожиточным минимумом выплата пособия прекращается. Для его продолжения родителям нужно оформить получение единого пособия на новом месте. Если это делается по временной регистрации и в регионе с более высоким прожиточным минимумом, мы согласно новым правилам должны удостовериться, что родители и дети действительно переехали в другой регион. Для этого фонд уточняет данные о семье через государственные информационные системы. В тех случаях, когда указанной информации нет или она говорит о несовпадении регионов реального проживания семьи и региона, где оформляется пособие, фонд может запросить дополнительные документы и сведения у родителей. Это может быть договор аренды жилья в регионе, куда переехала семья, или справка из детского садика или школы ребенка, на которого назначается пособие. Такие данные родители должны предоставить в клиентскую службу Отделения СФР по новому месту жительства. </w:t>
      </w:r>
    </w:p>
    <w:p w:rsidR="00AA1BD7" w:rsidRPr="00AA1BD7" w:rsidRDefault="00AA1BD7" w:rsidP="00233235">
      <w:pPr>
        <w:pStyle w:val="af7"/>
        <w:ind w:firstLine="567"/>
        <w:jc w:val="both"/>
        <w:rPr>
          <w:b/>
          <w:i/>
          <w:sz w:val="26"/>
          <w:szCs w:val="26"/>
        </w:rPr>
      </w:pPr>
      <w:r w:rsidRPr="00AA1BD7">
        <w:rPr>
          <w:b/>
          <w:i/>
          <w:sz w:val="26"/>
          <w:szCs w:val="26"/>
        </w:rPr>
        <w:t xml:space="preserve">- Когда новосибирцам следует подавать заявление на пособие, чтобы не пропустить сроки назначения или продления пособия? 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 xml:space="preserve">Единое пособие устанавливается будущим мамам, вставшим на учет на ранних сроках беременности, и на детей в возрасте до 17 лет. За назначением выплаты беременная женщина может обратиться с заявлением после 12 недели при условии, что на учет в медицинскую организацию она встала в период с 6 до 12 недели беременности. При появлении малыша с заявлением на единое пособие нужно обратиться в течение 6 месяцев. В этом случае пособие будет назначено с месяца его рождения.  Заявление можно подать одним из удобных для семьи способов: через портал </w:t>
      </w:r>
      <w:proofErr w:type="spellStart"/>
      <w:r w:rsidRPr="00AA1BD7">
        <w:rPr>
          <w:sz w:val="26"/>
          <w:szCs w:val="26"/>
        </w:rPr>
        <w:t>госуслуг</w:t>
      </w:r>
      <w:proofErr w:type="spellEnd"/>
      <w:r w:rsidRPr="00AA1BD7">
        <w:rPr>
          <w:sz w:val="26"/>
          <w:szCs w:val="26"/>
        </w:rPr>
        <w:t xml:space="preserve">, в МФЦ или в клиентской службе Отделения СФР по Новосибирской области. Если же новорожденный является не первым ребенком в семье, и на старших детей уже назначено единое пособие, то оно будет установлено на малыша </w:t>
      </w:r>
      <w:proofErr w:type="spellStart"/>
      <w:r w:rsidRPr="00AA1BD7">
        <w:rPr>
          <w:sz w:val="26"/>
          <w:szCs w:val="26"/>
        </w:rPr>
        <w:t>проактивно</w:t>
      </w:r>
      <w:proofErr w:type="spellEnd"/>
      <w:r w:rsidRPr="00AA1BD7">
        <w:rPr>
          <w:sz w:val="26"/>
          <w:szCs w:val="26"/>
        </w:rPr>
        <w:t xml:space="preserve"> без комплексной оценки нуждаемости и в том же размере, что и старшему ребенку. 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 xml:space="preserve">Если речь идет о продлении пособия, то заявление можно подать как в последний месяц периода, на который оно назначено, так и в следующий за ним месяц. В обоих случаях перерыва в выплате пособия не будет. Например, пособие установлено до конца ноября 2025 года. Заявление на продление пособия можно подать как в ноябре, так и в декабре текущего года. </w:t>
      </w:r>
    </w:p>
    <w:p w:rsidR="00AA1BD7" w:rsidRPr="00AA1BD7" w:rsidRDefault="00AA1BD7" w:rsidP="00AA1BD7">
      <w:pPr>
        <w:suppressAutoHyphens w:val="0"/>
        <w:spacing w:after="200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 xml:space="preserve">С этого года так же имеется возможность синхронизировать выплаты на всех детей (в случае, если на всех детей в семье установлено единое пособие). Для этого необходимо подать одно на всех детей заявление (в последний месяц получения пособия на одного из детей). </w:t>
      </w:r>
      <w:proofErr w:type="gramStart"/>
      <w:r w:rsidRPr="00AA1BD7">
        <w:rPr>
          <w:sz w:val="26"/>
          <w:szCs w:val="26"/>
        </w:rPr>
        <w:t>Например</w:t>
      </w:r>
      <w:proofErr w:type="gramEnd"/>
      <w:r w:rsidRPr="00AA1BD7">
        <w:rPr>
          <w:sz w:val="26"/>
          <w:szCs w:val="26"/>
        </w:rPr>
        <w:t xml:space="preserve">: в семье трое детей на одного из них пособие назначено по 30 ноября текущего года, на остальных двоих детей пособие установлено, например, по 31 января следующего года. В ноябре можно подать заявление на всех детей. В этом случае пособие будет для </w:t>
      </w:r>
      <w:proofErr w:type="spellStart"/>
      <w:r w:rsidRPr="00AA1BD7">
        <w:rPr>
          <w:sz w:val="26"/>
          <w:szCs w:val="26"/>
        </w:rPr>
        <w:t>всх</w:t>
      </w:r>
      <w:proofErr w:type="spellEnd"/>
      <w:r w:rsidRPr="00AA1BD7">
        <w:rPr>
          <w:sz w:val="26"/>
          <w:szCs w:val="26"/>
        </w:rPr>
        <w:t xml:space="preserve"> синхронизировано, при этом пособие за предыдущий период не будут учитываться в доход семьи. 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</w:p>
    <w:p w:rsidR="00AA1BD7" w:rsidRPr="00AA1BD7" w:rsidRDefault="00AA1BD7" w:rsidP="00233235">
      <w:pPr>
        <w:pStyle w:val="af7"/>
        <w:ind w:firstLine="567"/>
        <w:jc w:val="both"/>
        <w:rPr>
          <w:b/>
          <w:i/>
          <w:sz w:val="26"/>
          <w:szCs w:val="26"/>
          <w:shd w:val="clear" w:color="auto" w:fill="FFFFFF"/>
        </w:rPr>
      </w:pPr>
      <w:r w:rsidRPr="00AA1BD7">
        <w:rPr>
          <w:b/>
          <w:i/>
          <w:sz w:val="26"/>
          <w:szCs w:val="26"/>
          <w:shd w:val="clear" w:color="auto" w:fill="FFFFFF"/>
        </w:rPr>
        <w:t>- Раньше периоды ухода за нетрудоспособными являлись уважительной причиной для отсутствия дохода при установлении единого пособия. Работает ли сегодня эта льгота?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 xml:space="preserve">Уход за нетрудоспособным по-прежнему является одним из оснований отсутствия у заявителя на пособие дохода, однако в порядке его учета произошли изменения. </w:t>
      </w:r>
      <w:r w:rsidRPr="00AA1BD7">
        <w:rPr>
          <w:sz w:val="26"/>
          <w:szCs w:val="26"/>
          <w:lang w:eastAsia="ru-RU"/>
        </w:rPr>
        <w:t xml:space="preserve">Периоды ухода за инвалидом I группы или за лицом 80 лет и старше тем гражданам, которым в 2024 году производились выплаты по уходу, учтены нами на их лицевых счетах в </w:t>
      </w:r>
      <w:proofErr w:type="spellStart"/>
      <w:r w:rsidRPr="00AA1BD7">
        <w:rPr>
          <w:sz w:val="26"/>
          <w:szCs w:val="26"/>
          <w:lang w:eastAsia="ru-RU"/>
        </w:rPr>
        <w:t>беззаявительном</w:t>
      </w:r>
      <w:proofErr w:type="spellEnd"/>
      <w:r w:rsidRPr="00AA1BD7">
        <w:rPr>
          <w:sz w:val="26"/>
          <w:szCs w:val="26"/>
          <w:lang w:eastAsia="ru-RU"/>
        </w:rPr>
        <w:t xml:space="preserve"> порядке, так как данные сведения уже были в Отделении СФР по Новосибирской области. Если же период ухода начался с 2025 года, то для его учета на индивидуальном лицевом счете нужно подать соответствующее заявление в клиентскую службу регионального </w:t>
      </w:r>
      <w:r w:rsidR="00233235">
        <w:rPr>
          <w:sz w:val="26"/>
          <w:szCs w:val="26"/>
          <w:lang w:eastAsia="ru-RU"/>
        </w:rPr>
        <w:t xml:space="preserve">Отделения СФР. Если </w:t>
      </w:r>
      <w:proofErr w:type="gramStart"/>
      <w:r w:rsidR="00233235">
        <w:rPr>
          <w:sz w:val="26"/>
          <w:szCs w:val="26"/>
          <w:lang w:eastAsia="ru-RU"/>
        </w:rPr>
        <w:t>ухаживающий</w:t>
      </w:r>
      <w:proofErr w:type="gramEnd"/>
      <w:r w:rsidR="00233235">
        <w:rPr>
          <w:sz w:val="26"/>
          <w:szCs w:val="26"/>
          <w:lang w:eastAsia="ru-RU"/>
        </w:rPr>
        <w:t xml:space="preserve"> </w:t>
      </w:r>
      <w:r w:rsidRPr="00AA1BD7">
        <w:rPr>
          <w:sz w:val="26"/>
          <w:szCs w:val="26"/>
          <w:lang w:eastAsia="ru-RU"/>
        </w:rPr>
        <w:t xml:space="preserve">и получатель ухода проживают отдельно, то потребуется письменное подтверждение от получателя ухода или его законного представителя. </w:t>
      </w:r>
      <w:r w:rsidRPr="00AA1BD7">
        <w:rPr>
          <w:sz w:val="26"/>
          <w:szCs w:val="26"/>
        </w:rPr>
        <w:t xml:space="preserve">Заявление на включение периода ухода в стаж подается после окончания ухода, при возникновении необходимости в корректировке лицевого счета, например, подошло время для оформления пенсии или человек, который осуществлял уход, трудоустроился либо по окончании года. Информация о подтвержденном периоде ухода вносится специалистами регионального Отделения СФР на индивидуальный лицевой счет гражданина. Если же речь идет об уходе за ребенком с инвалидностью, то его родителям период ухода подтверждать не нужно – Отделение СФР по Новосибирской области располагает данной информацией и учтет ее при установлении единого пособия. Главное, не забудьте факт ухода отметить в заявлении. 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</w:p>
    <w:p w:rsidR="00AA1BD7" w:rsidRPr="00AA1BD7" w:rsidRDefault="00AA1BD7" w:rsidP="00AA1BD7">
      <w:pPr>
        <w:pStyle w:val="af7"/>
        <w:ind w:firstLine="567"/>
        <w:jc w:val="both"/>
        <w:rPr>
          <w:b/>
          <w:i/>
          <w:sz w:val="26"/>
          <w:szCs w:val="26"/>
          <w:shd w:val="clear" w:color="auto" w:fill="FFFFFF"/>
        </w:rPr>
      </w:pPr>
      <w:r w:rsidRPr="00AA1BD7">
        <w:rPr>
          <w:b/>
          <w:i/>
          <w:sz w:val="26"/>
          <w:szCs w:val="26"/>
          <w:shd w:val="clear" w:color="auto" w:fill="FFFFFF"/>
        </w:rPr>
        <w:t>- На какие еще пособия, кроме единого пособия, могут рассчитывать семьи с детьми?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Отделение СФР </w:t>
      </w:r>
      <w:r w:rsidRPr="00AA1BD7">
        <w:rPr>
          <w:sz w:val="26"/>
          <w:szCs w:val="26"/>
        </w:rPr>
        <w:t xml:space="preserve">по Новосибирской области предоставляет семьям с детьми обширную систему поддержки, обеспечивая свыше 200 тысяч новосибирских семей выплатами и пособиями. Для поддержки будущей мамы в период ожидания ребенка Отделение СФР по Новосибирской области помимо единого пособия назначает пособие по беременности и родам. Обращу внимание, что с 2025 года Отделение СФР по Новосибирской области выплачивает пособие по беременности и родам студенткам, обучающимся на очных отделениях, а также женщинам, уволенным в период отпуска по беременности и родам либо отпуска по уходу за ребенком. Сибирячки также получают услуги в связи с беременностью и рождением детей по родовым сертификатам. 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 xml:space="preserve">При появлении малыша семья может рассчитывать сразу на несколько выплат и пособий: 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>единовременное пособие при рождении ребенка</w:t>
      </w:r>
      <w:r w:rsidRPr="00AA1BD7">
        <w:rPr>
          <w:b/>
          <w:sz w:val="26"/>
          <w:szCs w:val="26"/>
        </w:rPr>
        <w:t xml:space="preserve"> </w:t>
      </w:r>
      <w:r w:rsidRPr="00AA1BD7">
        <w:rPr>
          <w:sz w:val="26"/>
          <w:szCs w:val="26"/>
        </w:rPr>
        <w:t>(выплачивается одному из родителей). Размер выплаты в Новосибирской области с учетом районного коэффициента составляет 32 330 рублей;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>единое пособие на малыша. Пособие выплачивается до исполнения ребенку 17 лет. Размер пособия может составлять 50, 75 или 100% от прожиточного минимума на детей в регионе;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>пособие по уходу за ребенком до полутора лет.</w:t>
      </w:r>
      <w:r w:rsidRPr="00AA1BD7">
        <w:rPr>
          <w:b/>
          <w:sz w:val="26"/>
          <w:szCs w:val="26"/>
        </w:rPr>
        <w:t xml:space="preserve"> </w:t>
      </w:r>
      <w:r w:rsidRPr="00AA1BD7">
        <w:rPr>
          <w:sz w:val="26"/>
          <w:szCs w:val="26"/>
        </w:rPr>
        <w:t xml:space="preserve">Его </w:t>
      </w:r>
      <w:r w:rsidRPr="00AA1BD7">
        <w:rPr>
          <w:sz w:val="26"/>
          <w:szCs w:val="26"/>
          <w:lang w:eastAsia="ru-RU"/>
        </w:rPr>
        <w:t xml:space="preserve">размер для работающих родителей составляет 40% среднего заработка получателя (за два года, предшествующих году отпуска по уходу за ребенком). Пособие назначается и неработающим родителям, уволенным в связи с ликвидацией организации в период беременности или отпуска по уходу за ребенком, а также студентам очных отделений. Работающие родители могут одновременно получать единое пособие и пособие по уходу до полутора лет. </w:t>
      </w:r>
      <w:r w:rsidRPr="00AA1BD7">
        <w:rPr>
          <w:sz w:val="26"/>
          <w:szCs w:val="26"/>
        </w:rPr>
        <w:t>Неработающим мамам предоставлено право выбора: получать единое пособие или пособие по уходу за ребенком до полутора</w:t>
      </w:r>
      <w:r w:rsidRPr="00AA1BD7">
        <w:rPr>
          <w:b/>
          <w:sz w:val="26"/>
          <w:szCs w:val="26"/>
        </w:rPr>
        <w:t xml:space="preserve"> </w:t>
      </w:r>
      <w:r w:rsidRPr="00AA1BD7">
        <w:rPr>
          <w:sz w:val="26"/>
          <w:szCs w:val="26"/>
        </w:rPr>
        <w:t xml:space="preserve">в зависимости от того, какой вариант ей финансово более выгоден. 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>материнский капитал.</w:t>
      </w:r>
      <w:r w:rsidRPr="00AA1BD7">
        <w:rPr>
          <w:b/>
          <w:sz w:val="26"/>
          <w:szCs w:val="26"/>
        </w:rPr>
        <w:t xml:space="preserve"> </w:t>
      </w:r>
      <w:r w:rsidRPr="00AA1BD7">
        <w:rPr>
          <w:sz w:val="26"/>
          <w:szCs w:val="26"/>
        </w:rPr>
        <w:t xml:space="preserve">Сертификат Отделение СФР по Новосибирской области оформляет в </w:t>
      </w:r>
      <w:proofErr w:type="spellStart"/>
      <w:r w:rsidRPr="00AA1BD7">
        <w:rPr>
          <w:sz w:val="26"/>
          <w:szCs w:val="26"/>
        </w:rPr>
        <w:t>проактивном</w:t>
      </w:r>
      <w:proofErr w:type="spellEnd"/>
      <w:r w:rsidRPr="00AA1BD7">
        <w:rPr>
          <w:sz w:val="26"/>
          <w:szCs w:val="26"/>
        </w:rPr>
        <w:t xml:space="preserve"> режиме после поступления сведений из ЗАГС о рождении малыша. В электронном виде он направляется в личный кабинет мамы на портале </w:t>
      </w:r>
      <w:proofErr w:type="spellStart"/>
      <w:r w:rsidRPr="00AA1BD7">
        <w:rPr>
          <w:sz w:val="26"/>
          <w:szCs w:val="26"/>
        </w:rPr>
        <w:t>госуслуг</w:t>
      </w:r>
      <w:proofErr w:type="spellEnd"/>
      <w:r w:rsidRPr="00AA1BD7">
        <w:rPr>
          <w:sz w:val="26"/>
          <w:szCs w:val="26"/>
        </w:rPr>
        <w:t xml:space="preserve">. Если речь идет о рождении первенца, размер капитала в текущем году составляет 690 266,95 рублей. При появлении второго ребенка семья получит доплату в размере 221 895,14 рублей. Если в семье появится двойня, то семья получит право на финансовую поддержку в сумме 912 162 рублей. 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</w:rPr>
        <w:t xml:space="preserve">Подать заявления на пособия по линии Отделения СФР по Новосибирской области можно в любое удобное для семьи время дистанционного через портал </w:t>
      </w:r>
      <w:proofErr w:type="spellStart"/>
      <w:r w:rsidRPr="00AA1BD7">
        <w:rPr>
          <w:sz w:val="26"/>
          <w:szCs w:val="26"/>
        </w:rPr>
        <w:t>госуслуг</w:t>
      </w:r>
      <w:proofErr w:type="spellEnd"/>
      <w:r w:rsidRPr="00AA1BD7">
        <w:rPr>
          <w:sz w:val="26"/>
          <w:szCs w:val="26"/>
        </w:rPr>
        <w:t xml:space="preserve"> – услуги фонда доступны для вас 24/7.   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</w:p>
    <w:p w:rsidR="00AA1BD7" w:rsidRPr="00AA1BD7" w:rsidRDefault="00AA1BD7" w:rsidP="00AA1BD7">
      <w:pPr>
        <w:pStyle w:val="af7"/>
        <w:ind w:firstLine="567"/>
        <w:jc w:val="both"/>
        <w:rPr>
          <w:b/>
          <w:i/>
          <w:sz w:val="26"/>
          <w:szCs w:val="26"/>
          <w:shd w:val="clear" w:color="auto" w:fill="FFFFFF"/>
        </w:rPr>
      </w:pPr>
      <w:r w:rsidRPr="00AA1BD7">
        <w:rPr>
          <w:b/>
          <w:i/>
          <w:sz w:val="26"/>
          <w:szCs w:val="26"/>
          <w:shd w:val="clear" w:color="auto" w:fill="FFFFFF"/>
        </w:rPr>
        <w:t xml:space="preserve">- Если у </w:t>
      </w:r>
      <w:r w:rsidR="00233235">
        <w:rPr>
          <w:b/>
          <w:i/>
          <w:sz w:val="26"/>
          <w:szCs w:val="26"/>
          <w:shd w:val="clear" w:color="auto" w:fill="FFFFFF"/>
        </w:rPr>
        <w:t>новосибирцев</w:t>
      </w:r>
      <w:r w:rsidRPr="00AA1BD7">
        <w:rPr>
          <w:b/>
          <w:i/>
          <w:sz w:val="26"/>
          <w:szCs w:val="26"/>
          <w:shd w:val="clear" w:color="auto" w:fill="FFFFFF"/>
        </w:rPr>
        <w:t xml:space="preserve"> остались вопросы по обсуждаемым сегодня темам, куда они могут с ними обратиться?</w:t>
      </w:r>
    </w:p>
    <w:p w:rsidR="00AA1BD7" w:rsidRPr="00AA1BD7" w:rsidRDefault="00AA1BD7" w:rsidP="00AA1BD7">
      <w:pPr>
        <w:pStyle w:val="af7"/>
        <w:ind w:firstLine="567"/>
        <w:jc w:val="both"/>
        <w:rPr>
          <w:sz w:val="26"/>
          <w:szCs w:val="26"/>
        </w:rPr>
      </w:pPr>
      <w:r w:rsidRPr="00AA1BD7">
        <w:rPr>
          <w:sz w:val="26"/>
          <w:szCs w:val="26"/>
          <w:lang w:eastAsia="ru-RU"/>
        </w:rPr>
        <w:t>По всем пенсионным и социальным вопросам, относящимся к компетенции СФР, новосибирцы могут обратиться</w:t>
      </w:r>
      <w:r w:rsidRPr="00AA1BD7">
        <w:rPr>
          <w:sz w:val="26"/>
          <w:szCs w:val="26"/>
        </w:rPr>
        <w:t xml:space="preserve"> в единый контакт-центр по телефону </w:t>
      </w:r>
      <w:r w:rsidRPr="00AA1BD7">
        <w:rPr>
          <w:b/>
          <w:sz w:val="26"/>
          <w:szCs w:val="26"/>
        </w:rPr>
        <w:t>8 800 100 0001.</w:t>
      </w:r>
      <w:r w:rsidRPr="00AA1BD7">
        <w:rPr>
          <w:sz w:val="26"/>
          <w:szCs w:val="26"/>
        </w:rPr>
        <w:t xml:space="preserve">  Звонок для всех бесплатный. При этом ежедневный прием также ведут и клиентские службы Отделения СФР по Новосибирской области. Сегодня у нас граждан принимают </w:t>
      </w:r>
      <w:r w:rsidR="00233235">
        <w:rPr>
          <w:sz w:val="26"/>
          <w:szCs w:val="26"/>
        </w:rPr>
        <w:t>39</w:t>
      </w:r>
      <w:r w:rsidRPr="00AA1BD7">
        <w:rPr>
          <w:sz w:val="26"/>
          <w:szCs w:val="26"/>
        </w:rPr>
        <w:t xml:space="preserve"> клиентских служб с понедельника по пятницу. Мы также ввели дополнительные дни приема – это последняя суббота каждого месяца. Информацию о выплатах по линии СФР можно найти на сайте </w:t>
      </w:r>
      <w:proofErr w:type="spellStart"/>
      <w:r w:rsidRPr="00AA1BD7">
        <w:rPr>
          <w:sz w:val="26"/>
          <w:szCs w:val="26"/>
        </w:rPr>
        <w:t>Соцфонда</w:t>
      </w:r>
      <w:proofErr w:type="spellEnd"/>
      <w:r w:rsidRPr="00AA1BD7">
        <w:rPr>
          <w:sz w:val="26"/>
          <w:szCs w:val="26"/>
        </w:rPr>
        <w:t>, а также на официальных страницах СФР и Отделения СФР по Новосибирской области в соци</w:t>
      </w:r>
      <w:bookmarkStart w:id="0" w:name="_GoBack"/>
      <w:bookmarkEnd w:id="0"/>
      <w:r w:rsidRPr="00AA1BD7">
        <w:rPr>
          <w:sz w:val="26"/>
          <w:szCs w:val="26"/>
        </w:rPr>
        <w:t xml:space="preserve">альных сетях: </w:t>
      </w:r>
      <w:proofErr w:type="spellStart"/>
      <w:r w:rsidRPr="00AA1BD7">
        <w:rPr>
          <w:sz w:val="26"/>
          <w:szCs w:val="26"/>
        </w:rPr>
        <w:t>ВКонтакте</w:t>
      </w:r>
      <w:proofErr w:type="spellEnd"/>
      <w:r w:rsidRPr="00AA1BD7">
        <w:rPr>
          <w:sz w:val="26"/>
          <w:szCs w:val="26"/>
        </w:rPr>
        <w:t xml:space="preserve">, Одноклассниках и в </w:t>
      </w:r>
      <w:proofErr w:type="spellStart"/>
      <w:r w:rsidRPr="00AA1BD7">
        <w:rPr>
          <w:sz w:val="26"/>
          <w:szCs w:val="26"/>
        </w:rPr>
        <w:t>Телеграм</w:t>
      </w:r>
      <w:proofErr w:type="spellEnd"/>
      <w:r w:rsidRPr="00AA1BD7">
        <w:rPr>
          <w:sz w:val="26"/>
          <w:szCs w:val="26"/>
        </w:rPr>
        <w:t xml:space="preserve">-канале. Также направить свое обращение новосибирцы могут через онлайн-приемную на сайте </w:t>
      </w:r>
      <w:proofErr w:type="spellStart"/>
      <w:r w:rsidRPr="00AA1BD7">
        <w:rPr>
          <w:sz w:val="26"/>
          <w:szCs w:val="26"/>
        </w:rPr>
        <w:t>Соцфонда</w:t>
      </w:r>
      <w:proofErr w:type="spellEnd"/>
      <w:r w:rsidRPr="00AA1BD7">
        <w:rPr>
          <w:sz w:val="26"/>
          <w:szCs w:val="26"/>
        </w:rPr>
        <w:t xml:space="preserve">. Мы всегда на связи, готовы ответить на все вопросы, входящие в нашу компетенцию. </w:t>
      </w:r>
    </w:p>
    <w:p w:rsidR="004E03D9" w:rsidRPr="00AA1BD7" w:rsidRDefault="004E03D9" w:rsidP="007A5978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AA1BD7">
        <w:rPr>
          <w:sz w:val="26"/>
          <w:szCs w:val="26"/>
          <w:lang w:eastAsia="ru-RU"/>
        </w:rPr>
        <w:t xml:space="preserve"> </w:t>
      </w:r>
    </w:p>
    <w:p w:rsidR="004E03D9" w:rsidRPr="007A5978" w:rsidRDefault="004E03D9" w:rsidP="007A5978">
      <w:pPr>
        <w:pStyle w:val="af7"/>
        <w:ind w:firstLine="567"/>
        <w:jc w:val="both"/>
        <w:rPr>
          <w:sz w:val="26"/>
          <w:szCs w:val="26"/>
        </w:rPr>
      </w:pPr>
      <w:r w:rsidRPr="007A5978">
        <w:rPr>
          <w:i/>
          <w:sz w:val="26"/>
          <w:szCs w:val="26"/>
        </w:rPr>
        <w:t xml:space="preserve">Если у вас остались вопросы, вы можете обратиться в единый контакт-центр по телефону — 8 800 100 0001. Звонок бесплатный. Режим работы линии Отделения СФР по Новосибирской области — с понедельника по четверг — с 8.30 до 17.15 без перерыва на обед, в пятницу — с 8.30 до 16.00.  </w:t>
      </w:r>
    </w:p>
    <w:p w:rsidR="00A20649" w:rsidRDefault="00A20649" w:rsidP="004E03D9">
      <w:pPr>
        <w:spacing w:line="360" w:lineRule="auto"/>
        <w:ind w:firstLine="567"/>
        <w:jc w:val="both"/>
      </w:pPr>
    </w:p>
    <w:p w:rsidR="007A5978" w:rsidRPr="004F6AD9" w:rsidRDefault="007A5978" w:rsidP="007A5978">
      <w:pPr>
        <w:ind w:firstLine="567"/>
        <w:jc w:val="right"/>
        <w:rPr>
          <w:b/>
        </w:rPr>
      </w:pPr>
      <w:r w:rsidRPr="000437C4">
        <w:t xml:space="preserve">Пресс-служба Отделения </w:t>
      </w:r>
      <w:r w:rsidRPr="000437C4">
        <w:rPr>
          <w:lang w:val="en-US"/>
        </w:rPr>
        <w:t>C</w:t>
      </w:r>
      <w:r>
        <w:t>ФР</w:t>
      </w:r>
    </w:p>
    <w:p w:rsidR="007A5978" w:rsidRPr="00A20649" w:rsidRDefault="007A5978" w:rsidP="007A5978">
      <w:pPr>
        <w:spacing w:line="360" w:lineRule="auto"/>
        <w:ind w:firstLine="567"/>
        <w:jc w:val="right"/>
      </w:pPr>
    </w:p>
    <w:sectPr w:rsidR="007A5978" w:rsidRPr="00A20649" w:rsidSect="00B72E0A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3"/>
  </w:num>
  <w:num w:numId="11">
    <w:abstractNumId w:val="9"/>
  </w:num>
  <w:num w:numId="12">
    <w:abstractNumId w:val="4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2E"/>
    <w:rsid w:val="00000518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45E3"/>
    <w:rsid w:val="0001517F"/>
    <w:rsid w:val="00015A5B"/>
    <w:rsid w:val="00015CB5"/>
    <w:rsid w:val="00016ABD"/>
    <w:rsid w:val="000175C6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20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6943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0CB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5C1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053"/>
    <w:rsid w:val="000A46BC"/>
    <w:rsid w:val="000A4B04"/>
    <w:rsid w:val="000A50D5"/>
    <w:rsid w:val="000A6F05"/>
    <w:rsid w:val="000B0CA3"/>
    <w:rsid w:val="000B223F"/>
    <w:rsid w:val="000B299C"/>
    <w:rsid w:val="000B2B84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D76AF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4E4"/>
    <w:rsid w:val="00135C4F"/>
    <w:rsid w:val="001371EC"/>
    <w:rsid w:val="0014020D"/>
    <w:rsid w:val="00140331"/>
    <w:rsid w:val="00140FDF"/>
    <w:rsid w:val="0014175E"/>
    <w:rsid w:val="00141CF4"/>
    <w:rsid w:val="00142D35"/>
    <w:rsid w:val="00143076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037"/>
    <w:rsid w:val="00146370"/>
    <w:rsid w:val="00146C1A"/>
    <w:rsid w:val="00146CE6"/>
    <w:rsid w:val="00146E5E"/>
    <w:rsid w:val="0014719A"/>
    <w:rsid w:val="001478C7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1A9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5574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0AB7"/>
    <w:rsid w:val="001A1448"/>
    <w:rsid w:val="001A14B9"/>
    <w:rsid w:val="001A20D3"/>
    <w:rsid w:val="001A2664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3C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6A9A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DA0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3E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235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2D9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08C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7C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A784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C7B35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0D55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272E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3BF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2D4"/>
    <w:rsid w:val="003754B5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BCB"/>
    <w:rsid w:val="003A2FED"/>
    <w:rsid w:val="003A320C"/>
    <w:rsid w:val="003A324E"/>
    <w:rsid w:val="003A3FF4"/>
    <w:rsid w:val="003A4099"/>
    <w:rsid w:val="003A5795"/>
    <w:rsid w:val="003A6C42"/>
    <w:rsid w:val="003A70AF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D735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900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1DB0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07A92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40C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19C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4E7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D7A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18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3D9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04BF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947"/>
    <w:rsid w:val="00522C3A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19D"/>
    <w:rsid w:val="00531A9C"/>
    <w:rsid w:val="00531E78"/>
    <w:rsid w:val="005329E4"/>
    <w:rsid w:val="00533947"/>
    <w:rsid w:val="00534087"/>
    <w:rsid w:val="0053424B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620C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E72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67B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97D00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5A39"/>
    <w:rsid w:val="005C5F03"/>
    <w:rsid w:val="005C6BAD"/>
    <w:rsid w:val="005C6D15"/>
    <w:rsid w:val="005C6E1C"/>
    <w:rsid w:val="005C6E9E"/>
    <w:rsid w:val="005C709E"/>
    <w:rsid w:val="005C7FED"/>
    <w:rsid w:val="005D0A60"/>
    <w:rsid w:val="005D110A"/>
    <w:rsid w:val="005D128A"/>
    <w:rsid w:val="005D1599"/>
    <w:rsid w:val="005D206B"/>
    <w:rsid w:val="005D4464"/>
    <w:rsid w:val="005D4AD8"/>
    <w:rsid w:val="005D4B45"/>
    <w:rsid w:val="005D4E2C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001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57E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5439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E99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2FF8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79D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43AC"/>
    <w:rsid w:val="006754AE"/>
    <w:rsid w:val="00675665"/>
    <w:rsid w:val="006757B6"/>
    <w:rsid w:val="00675F0A"/>
    <w:rsid w:val="00675F97"/>
    <w:rsid w:val="00676265"/>
    <w:rsid w:val="00676534"/>
    <w:rsid w:val="00677DF0"/>
    <w:rsid w:val="00680902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12E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AF0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3752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5978"/>
    <w:rsid w:val="007A63C6"/>
    <w:rsid w:val="007A7037"/>
    <w:rsid w:val="007A7091"/>
    <w:rsid w:val="007A7802"/>
    <w:rsid w:val="007B1371"/>
    <w:rsid w:val="007B152C"/>
    <w:rsid w:val="007B1ADC"/>
    <w:rsid w:val="007B1C16"/>
    <w:rsid w:val="007B1C4D"/>
    <w:rsid w:val="007B202C"/>
    <w:rsid w:val="007B21AA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BA7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7DA"/>
    <w:rsid w:val="00841C00"/>
    <w:rsid w:val="008430F2"/>
    <w:rsid w:val="008436C2"/>
    <w:rsid w:val="00843896"/>
    <w:rsid w:val="0084408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809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266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E8D"/>
    <w:rsid w:val="008A2EE5"/>
    <w:rsid w:val="008A31DF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5B21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C17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1F90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496"/>
    <w:rsid w:val="00987A2D"/>
    <w:rsid w:val="00990501"/>
    <w:rsid w:val="00990547"/>
    <w:rsid w:val="00990616"/>
    <w:rsid w:val="009920AC"/>
    <w:rsid w:val="0099227C"/>
    <w:rsid w:val="00992914"/>
    <w:rsid w:val="00993A2B"/>
    <w:rsid w:val="00993AB4"/>
    <w:rsid w:val="0099490F"/>
    <w:rsid w:val="0099515C"/>
    <w:rsid w:val="00995CF9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C5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D7237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5D3"/>
    <w:rsid w:val="009E3D06"/>
    <w:rsid w:val="009E4148"/>
    <w:rsid w:val="009E42F9"/>
    <w:rsid w:val="009E45B4"/>
    <w:rsid w:val="009E4D3F"/>
    <w:rsid w:val="009E545D"/>
    <w:rsid w:val="009E59C1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0B53"/>
    <w:rsid w:val="00A11450"/>
    <w:rsid w:val="00A11578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49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0FB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2B30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1A7"/>
    <w:rsid w:val="00A446A9"/>
    <w:rsid w:val="00A4515D"/>
    <w:rsid w:val="00A45A3A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006F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BD7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6FF3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3A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AF68C0"/>
    <w:rsid w:val="00AF7066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27DC2"/>
    <w:rsid w:val="00B3099F"/>
    <w:rsid w:val="00B30CF2"/>
    <w:rsid w:val="00B317F5"/>
    <w:rsid w:val="00B329FC"/>
    <w:rsid w:val="00B32D4A"/>
    <w:rsid w:val="00B33B17"/>
    <w:rsid w:val="00B33CB5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48D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6EB7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2E0A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0CC2"/>
    <w:rsid w:val="00B810FE"/>
    <w:rsid w:val="00B81AFE"/>
    <w:rsid w:val="00B82A88"/>
    <w:rsid w:val="00B82B35"/>
    <w:rsid w:val="00B82CE3"/>
    <w:rsid w:val="00B8313E"/>
    <w:rsid w:val="00B8499F"/>
    <w:rsid w:val="00B850F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0E2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A47"/>
    <w:rsid w:val="00C36241"/>
    <w:rsid w:val="00C37317"/>
    <w:rsid w:val="00C37E53"/>
    <w:rsid w:val="00C403D0"/>
    <w:rsid w:val="00C40950"/>
    <w:rsid w:val="00C4122C"/>
    <w:rsid w:val="00C41D10"/>
    <w:rsid w:val="00C41FAF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38F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0C5E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A7"/>
    <w:rsid w:val="00CF21F2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17325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875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9CE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0D29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57A12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3D1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971AB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8E2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B1F"/>
    <w:rsid w:val="00DE7DC5"/>
    <w:rsid w:val="00DF0E0B"/>
    <w:rsid w:val="00DF248E"/>
    <w:rsid w:val="00DF300B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8B8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1F34"/>
    <w:rsid w:val="00E22BA9"/>
    <w:rsid w:val="00E22C9D"/>
    <w:rsid w:val="00E22CE4"/>
    <w:rsid w:val="00E22F1A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50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975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5C8"/>
    <w:rsid w:val="00E75906"/>
    <w:rsid w:val="00E75AAB"/>
    <w:rsid w:val="00E75EB9"/>
    <w:rsid w:val="00E76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33F"/>
    <w:rsid w:val="00E85A15"/>
    <w:rsid w:val="00E86D3E"/>
    <w:rsid w:val="00E87973"/>
    <w:rsid w:val="00E87A0F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126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5FF3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2A1F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325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46CE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221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21E2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669"/>
    <w:rsid w:val="00FA69A6"/>
    <w:rsid w:val="00FA6BF6"/>
    <w:rsid w:val="00FA6F8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60A"/>
    <w:rsid w:val="00FD0C7C"/>
    <w:rsid w:val="00FD0DF7"/>
    <w:rsid w:val="00FD129B"/>
    <w:rsid w:val="00FD199F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3956E15-37EC-4F6D-A101-38F4C0A0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987496"/>
  </w:style>
  <w:style w:type="character" w:customStyle="1" w:styleId="vkitposttextroot--otcaj">
    <w:name w:val="vkitposttext__root--otcaj"/>
    <w:basedOn w:val="a0"/>
    <w:rsid w:val="0098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wall-37475973_581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5F8FA-B66B-4D0A-9F18-4651F4E4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Спирина Ирина Эдуардовна</cp:lastModifiedBy>
  <cp:revision>3</cp:revision>
  <cp:lastPrinted>2022-11-15T06:36:00Z</cp:lastPrinted>
  <dcterms:created xsi:type="dcterms:W3CDTF">2025-11-13T04:54:00Z</dcterms:created>
  <dcterms:modified xsi:type="dcterms:W3CDTF">2025-11-13T05:17:00Z</dcterms:modified>
</cp:coreProperties>
</file>