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B6" w:rsidRPr="002032B6" w:rsidRDefault="002032B6" w:rsidP="002032B6">
      <w:pPr>
        <w:tabs>
          <w:tab w:val="left" w:pos="0"/>
        </w:tabs>
        <w:ind w:right="140"/>
        <w:jc w:val="center"/>
        <w:rPr>
          <w:b/>
        </w:rPr>
      </w:pPr>
      <w:r w:rsidRPr="002032B6">
        <w:rPr>
          <w:b/>
        </w:rPr>
        <w:t xml:space="preserve"> </w:t>
      </w:r>
    </w:p>
    <w:p w:rsidR="002032B6" w:rsidRDefault="00840711">
      <w:pPr>
        <w:tabs>
          <w:tab w:val="left" w:pos="0"/>
        </w:tabs>
        <w:ind w:right="140" w:firstLine="709"/>
        <w:jc w:val="both"/>
      </w:pPr>
      <w:bookmarkStart w:id="0" w:name="_GoBack"/>
      <w:r>
        <w:t>Мини</w:t>
      </w:r>
      <w:r>
        <w:t xml:space="preserve">стерство промышленности, торговли и развития предпринимательства Новосибирской области </w:t>
      </w:r>
      <w:r w:rsidR="002032B6">
        <w:t xml:space="preserve">приглашает </w:t>
      </w:r>
      <w:r w:rsidR="002032B6" w:rsidRPr="002032B6">
        <w:t xml:space="preserve">Вас принять участие в </w:t>
      </w:r>
      <w:proofErr w:type="gramStart"/>
      <w:r w:rsidR="002032B6" w:rsidRPr="002032B6">
        <w:t>обучении по вопросам</w:t>
      </w:r>
      <w:proofErr w:type="gramEnd"/>
      <w:r w:rsidR="002032B6" w:rsidRPr="002032B6">
        <w:t xml:space="preserve"> участия в закупках товаров, работ, услуг для обеспечения госуд</w:t>
      </w:r>
      <w:r w:rsidR="002032B6">
        <w:t>арственных и муниципальных нужд</w:t>
      </w:r>
      <w:r>
        <w:t xml:space="preserve"> в период с 28 октября по 01 ноября 2024 года в Центре «Мой бизнес» (г. </w:t>
      </w:r>
      <w:r w:rsidR="002032B6">
        <w:t xml:space="preserve">Новосибирск, ул. </w:t>
      </w:r>
      <w:proofErr w:type="spellStart"/>
      <w:r w:rsidR="002032B6">
        <w:t>Сибревкома</w:t>
      </w:r>
      <w:proofErr w:type="spellEnd"/>
      <w:r w:rsidR="002032B6">
        <w:t xml:space="preserve">, 9). </w:t>
      </w:r>
    </w:p>
    <w:p w:rsidR="00737C8E" w:rsidRDefault="00840711">
      <w:pPr>
        <w:tabs>
          <w:tab w:val="left" w:pos="0"/>
        </w:tabs>
        <w:ind w:right="140" w:firstLine="709"/>
        <w:jc w:val="both"/>
      </w:pPr>
      <w:r>
        <w:t xml:space="preserve">В </w:t>
      </w:r>
      <w:r>
        <w:t xml:space="preserve">рамках программы мероприятия будут рассмотрены темы: 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взаимодействие бизнеса и государства – потребности, преимущества, выгоды для предпринимателя. Предстартовая подготовка: планирование финансов, времени. Возможные риски и последствия неквалифицированно</w:t>
      </w:r>
      <w:r>
        <w:t>го подхода к участию в закупках.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законодательство о закупках – 44-ФЗ, 223-ФЗ. Отличия, основные понятия, способы и алгоритмы осуществления закупок;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</w:t>
      </w:r>
      <w:proofErr w:type="spellStart"/>
      <w:r>
        <w:t>гособоронзаказ</w:t>
      </w:r>
      <w:proofErr w:type="spellEnd"/>
      <w:r>
        <w:t xml:space="preserve">. Правовые основы закупок в рамках </w:t>
      </w:r>
      <w:proofErr w:type="spellStart"/>
      <w:r>
        <w:t>гособоронзаказа</w:t>
      </w:r>
      <w:proofErr w:type="spellEnd"/>
      <w:r>
        <w:t>. Основные отличия закупок в рамках госу</w:t>
      </w:r>
      <w:r>
        <w:t xml:space="preserve">дарственного оборонного заказа. Контракт по </w:t>
      </w:r>
      <w:proofErr w:type="spellStart"/>
      <w:r>
        <w:t>гособоронзаказу</w:t>
      </w:r>
      <w:proofErr w:type="spellEnd"/>
      <w:r>
        <w:t>: правовые основания заключения, условия, порядок и специфика оформления. Типовые ошибки и их последствия. Порядок исполнения и приемки по закону «О государственном оборонном заказе» 275-ФЗ. Госуда</w:t>
      </w:r>
      <w:r>
        <w:t>рственный контроль над исполнением государственного оборонного заказа. Ответственность участников государственного оборонного заказа;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требования к участникам закупок. Преимущества для отдельных участников. Преференции для российских производителей;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исп</w:t>
      </w:r>
      <w:r>
        <w:t xml:space="preserve">олнение контрактов и договоров – организация процесса и оформление приемки и экспертизы. Ответственность, риски. Обжалование действий и бездействия заказчиков; </w:t>
      </w:r>
    </w:p>
    <w:p w:rsidR="00737C8E" w:rsidRDefault="00840711">
      <w:pPr>
        <w:tabs>
          <w:tab w:val="left" w:pos="0"/>
        </w:tabs>
        <w:ind w:right="140"/>
        <w:jc w:val="both"/>
      </w:pPr>
      <w:r>
        <w:t xml:space="preserve">- практика участия в </w:t>
      </w:r>
      <w:proofErr w:type="gramStart"/>
      <w:r>
        <w:t>закупках</w:t>
      </w:r>
      <w:proofErr w:type="gramEnd"/>
      <w:r>
        <w:t xml:space="preserve"> как для новичков, так и для профессионалов;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практические заняти</w:t>
      </w:r>
      <w:r>
        <w:t xml:space="preserve">я: работа в единой информационной системе в сфере закупок и на площадках, проведение которых обеспечивается специалистами </w:t>
      </w:r>
      <w:proofErr w:type="gramStart"/>
      <w:r>
        <w:t>с</w:t>
      </w:r>
      <w:proofErr w:type="gramEnd"/>
      <w:r>
        <w:t xml:space="preserve"> </w:t>
      </w:r>
      <w:proofErr w:type="gramStart"/>
      <w:r>
        <w:t>электронных</w:t>
      </w:r>
      <w:proofErr w:type="gramEnd"/>
      <w:r>
        <w:t xml:space="preserve"> торговых площадках, на которых проводятся торги заказчиками:</w:t>
      </w:r>
    </w:p>
    <w:p w:rsidR="00737C8E" w:rsidRDefault="00840711">
      <w:pPr>
        <w:tabs>
          <w:tab w:val="left" w:pos="0"/>
        </w:tabs>
        <w:ind w:right="140"/>
        <w:jc w:val="both"/>
      </w:pPr>
      <w:r>
        <w:t>- АО «ЕЭТП», АО «Сбербанк-АСТ»</w:t>
      </w:r>
      <w:proofErr w:type="gramStart"/>
      <w:r>
        <w:t>,О</w:t>
      </w:r>
      <w:proofErr w:type="gramEnd"/>
      <w:r>
        <w:t xml:space="preserve">ОО «РТС–тендер». </w:t>
      </w:r>
    </w:p>
    <w:p w:rsidR="00737C8E" w:rsidRDefault="00840711">
      <w:pPr>
        <w:tabs>
          <w:tab w:val="left" w:pos="0"/>
        </w:tabs>
        <w:ind w:right="140" w:firstLine="709"/>
        <w:jc w:val="both"/>
      </w:pPr>
      <w:r>
        <w:t>Обучение для региональных производителей бесплатное. Возможен очный и дистанционный формат уча</w:t>
      </w:r>
      <w:r>
        <w:t>стия.</w:t>
      </w:r>
    </w:p>
    <w:p w:rsidR="00737C8E" w:rsidRDefault="00840711">
      <w:pPr>
        <w:tabs>
          <w:tab w:val="left" w:pos="0"/>
        </w:tabs>
        <w:ind w:right="140" w:firstLine="709"/>
        <w:jc w:val="both"/>
      </w:pPr>
      <w:r>
        <w:t>Для участия необходимо подать заявку на сайте «Мой Бизнес» по ссылке:</w:t>
      </w:r>
    </w:p>
    <w:p w:rsidR="002032B6" w:rsidRDefault="00840711">
      <w:pPr>
        <w:tabs>
          <w:tab w:val="left" w:pos="0"/>
        </w:tabs>
        <w:ind w:right="140"/>
        <w:jc w:val="both"/>
      </w:pPr>
      <w:hyperlink r:id="rId8" w:tooltip="https://mbnso.ru/projects/obuchayushchie-programmy/vov_postavshchik-b2g-tendery-iskusstvo-pobezhdat-programma-povysheniya-kvalifikatsii/." w:history="1">
        <w:r>
          <w:rPr>
            <w:rStyle w:val="af1"/>
          </w:rPr>
          <w:t>https://mbnso.ru/projects/obuchayushchie-programmy/vov_postavshchik-b2g-tendery-iskusstvo-pobezhdat-programma-povysheniya-kvalifikatsii/.</w:t>
        </w:r>
      </w:hyperlink>
      <w:r>
        <w:t xml:space="preserve"> </w:t>
      </w:r>
    </w:p>
    <w:p w:rsidR="00737C8E" w:rsidRDefault="00840711">
      <w:pPr>
        <w:tabs>
          <w:tab w:val="left" w:pos="0"/>
        </w:tabs>
        <w:ind w:right="140"/>
        <w:jc w:val="both"/>
      </w:pPr>
      <w:r>
        <w:t>Д</w:t>
      </w:r>
      <w:r>
        <w:t xml:space="preserve">ля поддержки при регистрации обращаться по телефону +7 (800) 600 3407. Регистрация открыта до 26 октября 2024 года. </w:t>
      </w: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bookmarkEnd w:id="0"/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140"/>
        <w:jc w:val="both"/>
      </w:pPr>
    </w:p>
    <w:p w:rsidR="00737C8E" w:rsidRDefault="00737C8E">
      <w:pPr>
        <w:tabs>
          <w:tab w:val="left" w:pos="0"/>
        </w:tabs>
        <w:ind w:right="201"/>
        <w:jc w:val="both"/>
        <w:rPr>
          <w:sz w:val="20"/>
          <w:szCs w:val="20"/>
        </w:rPr>
      </w:pPr>
    </w:p>
    <w:sectPr w:rsidR="00737C8E">
      <w:pgSz w:w="11906" w:h="16838"/>
      <w:pgMar w:top="1134" w:right="567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11" w:rsidRDefault="00840711">
      <w:r>
        <w:separator/>
      </w:r>
    </w:p>
  </w:endnote>
  <w:endnote w:type="continuationSeparator" w:id="0">
    <w:p w:rsidR="00840711" w:rsidRDefault="0084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11" w:rsidRDefault="00840711">
      <w:r>
        <w:separator/>
      </w:r>
    </w:p>
  </w:footnote>
  <w:footnote w:type="continuationSeparator" w:id="0">
    <w:p w:rsidR="00840711" w:rsidRDefault="0084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F4B71"/>
    <w:multiLevelType w:val="hybridMultilevel"/>
    <w:tmpl w:val="0BD671A2"/>
    <w:lvl w:ilvl="0" w:tplc="F3C0A8FE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B8BCBB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923E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EE75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A1E62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42A3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5C6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14287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CE95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5FDE05F2"/>
    <w:multiLevelType w:val="hybridMultilevel"/>
    <w:tmpl w:val="A0789A06"/>
    <w:lvl w:ilvl="0" w:tplc="7120350E">
      <w:start w:val="1"/>
      <w:numFmt w:val="decimal"/>
      <w:lvlText w:val="%1."/>
      <w:lvlJc w:val="left"/>
      <w:pPr>
        <w:ind w:left="1069" w:hanging="360"/>
      </w:pPr>
    </w:lvl>
    <w:lvl w:ilvl="1" w:tplc="D9AAEC90">
      <w:start w:val="1"/>
      <w:numFmt w:val="lowerLetter"/>
      <w:lvlText w:val="%2."/>
      <w:lvlJc w:val="left"/>
      <w:pPr>
        <w:ind w:left="1789" w:hanging="360"/>
      </w:pPr>
    </w:lvl>
    <w:lvl w:ilvl="2" w:tplc="FCDA03CA">
      <w:start w:val="1"/>
      <w:numFmt w:val="lowerRoman"/>
      <w:lvlText w:val="%3."/>
      <w:lvlJc w:val="right"/>
      <w:pPr>
        <w:ind w:left="2509" w:hanging="180"/>
      </w:pPr>
    </w:lvl>
    <w:lvl w:ilvl="3" w:tplc="9D20596E">
      <w:start w:val="1"/>
      <w:numFmt w:val="decimal"/>
      <w:lvlText w:val="%4."/>
      <w:lvlJc w:val="left"/>
      <w:pPr>
        <w:ind w:left="3229" w:hanging="360"/>
      </w:pPr>
    </w:lvl>
    <w:lvl w:ilvl="4" w:tplc="56987D6E">
      <w:start w:val="1"/>
      <w:numFmt w:val="lowerLetter"/>
      <w:lvlText w:val="%5."/>
      <w:lvlJc w:val="left"/>
      <w:pPr>
        <w:ind w:left="3949" w:hanging="360"/>
      </w:pPr>
    </w:lvl>
    <w:lvl w:ilvl="5" w:tplc="5DAC24DE">
      <w:start w:val="1"/>
      <w:numFmt w:val="lowerRoman"/>
      <w:lvlText w:val="%6."/>
      <w:lvlJc w:val="right"/>
      <w:pPr>
        <w:ind w:left="4669" w:hanging="180"/>
      </w:pPr>
    </w:lvl>
    <w:lvl w:ilvl="6" w:tplc="C8ECA0BC">
      <w:start w:val="1"/>
      <w:numFmt w:val="decimal"/>
      <w:lvlText w:val="%7."/>
      <w:lvlJc w:val="left"/>
      <w:pPr>
        <w:ind w:left="5389" w:hanging="360"/>
      </w:pPr>
    </w:lvl>
    <w:lvl w:ilvl="7" w:tplc="F228AE06">
      <w:start w:val="1"/>
      <w:numFmt w:val="lowerLetter"/>
      <w:lvlText w:val="%8."/>
      <w:lvlJc w:val="left"/>
      <w:pPr>
        <w:ind w:left="6109" w:hanging="360"/>
      </w:pPr>
    </w:lvl>
    <w:lvl w:ilvl="8" w:tplc="D0CA862A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4A255F"/>
    <w:multiLevelType w:val="hybridMultilevel"/>
    <w:tmpl w:val="B57CF346"/>
    <w:lvl w:ilvl="0" w:tplc="6E6ECDD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2ADAD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1EEA4B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E24F8A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CA001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778968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D478F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00CFB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604941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C8E"/>
    <w:rsid w:val="002032B6"/>
    <w:rsid w:val="00737C8E"/>
    <w:rsid w:val="0084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nhideWhenUsed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5"/>
    <w:uiPriority w:val="99"/>
    <w:pPr>
      <w:jc w:val="both"/>
    </w:pPr>
    <w:rPr>
      <w:lang w:val="en-US"/>
    </w:rPr>
  </w:style>
  <w:style w:type="character" w:customStyle="1" w:styleId="25">
    <w:name w:val="Основной текст 2 Знак"/>
    <w:link w:val="2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"/>
    <w:link w:val="33"/>
    <w:uiPriority w:val="99"/>
    <w:pPr>
      <w:jc w:val="center"/>
    </w:pPr>
    <w:rPr>
      <w:b/>
      <w:bCs/>
      <w:lang w:val="en-US"/>
    </w:rPr>
  </w:style>
  <w:style w:type="character" w:customStyle="1" w:styleId="33">
    <w:name w:val="Основной текст 3 Знак"/>
    <w:link w:val="32"/>
    <w:uiPriority w:val="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2">
    <w:name w:val="заголовок 1"/>
    <w:basedOn w:val="a"/>
    <w:next w:val="a"/>
    <w:pPr>
      <w:keepNext/>
      <w:jc w:val="both"/>
      <w:outlineLvl w:val="0"/>
    </w:pPr>
    <w:rPr>
      <w:sz w:val="24"/>
      <w:szCs w:val="24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sz w:val="18"/>
      <w:szCs w:val="18"/>
    </w:rPr>
  </w:style>
  <w:style w:type="paragraph" w:styleId="34">
    <w:name w:val="Body Text Indent 3"/>
    <w:basedOn w:val="a"/>
    <w:link w:val="35"/>
    <w:uiPriority w:val="99"/>
    <w:unhideWhenUsed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rPr>
      <w:rFonts w:ascii="Times New Roman" w:eastAsia="Times New Roman" w:hAnsi="Times New Roman"/>
      <w:sz w:val="16"/>
      <w:szCs w:val="16"/>
    </w:rPr>
  </w:style>
  <w:style w:type="paragraph" w:customStyle="1" w:styleId="---">
    <w:name w:val="---"/>
    <w:basedOn w:val="a"/>
    <w:pPr>
      <w:numPr>
        <w:numId w:val="1"/>
      </w:numPr>
    </w:pPr>
    <w:rPr>
      <w:sz w:val="24"/>
      <w:szCs w:val="20"/>
    </w:rPr>
  </w:style>
  <w:style w:type="character" w:customStyle="1" w:styleId="af3">
    <w:name w:val="Текст сноски Знак"/>
    <w:link w:val="af2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nso.ru/projects/obuchayushchie-programmy/vov_postavshchik-b2g-tendery-iskusstvo-pobezhdat-programma-povysheniya-kvalifikatsii/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2226</Characters>
  <Application>Microsoft Office Word</Application>
  <DocSecurity>0</DocSecurity>
  <Lines>18</Lines>
  <Paragraphs>5</Paragraphs>
  <ScaleCrop>false</ScaleCrop>
  <Company>АГНОиПНО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Admin</cp:lastModifiedBy>
  <cp:revision>22</cp:revision>
  <dcterms:created xsi:type="dcterms:W3CDTF">2021-07-05T09:50:00Z</dcterms:created>
  <dcterms:modified xsi:type="dcterms:W3CDTF">2024-09-17T09:37:00Z</dcterms:modified>
  <cp:version>917504</cp:version>
</cp:coreProperties>
</file>